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4"/>
        <w:ind w:left="0" w:right="364" w:firstLine="0"/>
        <w:jc w:val="center"/>
        <w:rPr>
          <w:sz w:val="22"/>
        </w:rPr>
      </w:pPr>
      <w:r>
        <w:rPr>
          <w:color w:val="010202"/>
          <w:spacing w:val="-2"/>
          <w:w w:val="105"/>
          <w:sz w:val="22"/>
          <w:u w:val="thick" w:color="010202"/>
        </w:rPr>
        <w:t>MODULO-SEGNALAZIONE</w:t>
      </w:r>
      <w:r>
        <w:rPr>
          <w:color w:val="010202"/>
          <w:spacing w:val="15"/>
          <w:w w:val="105"/>
          <w:sz w:val="22"/>
          <w:u w:val="thick" w:color="010202"/>
        </w:rPr>
        <w:t> </w:t>
      </w:r>
      <w:r>
        <w:rPr>
          <w:color w:val="010202"/>
          <w:spacing w:val="-2"/>
          <w:w w:val="105"/>
          <w:sz w:val="22"/>
          <w:u w:val="thick" w:color="010202"/>
        </w:rPr>
        <w:t>ILLECITI</w:t>
      </w:r>
    </w:p>
    <w:p>
      <w:pPr>
        <w:spacing w:line="240" w:lineRule="auto" w:before="250"/>
        <w:rPr>
          <w:sz w:val="22"/>
        </w:rPr>
      </w:pPr>
    </w:p>
    <w:p>
      <w:pPr>
        <w:spacing w:before="0"/>
        <w:ind w:left="5294" w:right="416" w:firstLine="3280"/>
        <w:jc w:val="right"/>
        <w:rPr>
          <w:sz w:val="22"/>
        </w:rPr>
      </w:pPr>
      <w:r>
        <w:rPr>
          <w:color w:val="010202"/>
          <w:sz w:val="22"/>
        </w:rPr>
        <w:t>Al</w:t>
      </w:r>
      <w:r>
        <w:rPr>
          <w:color w:val="010202"/>
          <w:spacing w:val="-14"/>
          <w:sz w:val="22"/>
        </w:rPr>
        <w:t> </w:t>
      </w:r>
      <w:r>
        <w:rPr>
          <w:color w:val="010202"/>
          <w:sz w:val="22"/>
        </w:rPr>
        <w:t>Responsabile della</w:t>
      </w:r>
      <w:r>
        <w:rPr>
          <w:color w:val="010202"/>
          <w:spacing w:val="-3"/>
          <w:sz w:val="22"/>
        </w:rPr>
        <w:t> </w:t>
      </w:r>
      <w:r>
        <w:rPr>
          <w:color w:val="010202"/>
          <w:sz w:val="22"/>
        </w:rPr>
        <w:t>prevenzione</w:t>
      </w:r>
      <w:r>
        <w:rPr>
          <w:color w:val="010202"/>
          <w:spacing w:val="-3"/>
          <w:sz w:val="22"/>
        </w:rPr>
        <w:t> </w:t>
      </w:r>
      <w:r>
        <w:rPr>
          <w:color w:val="010202"/>
          <w:sz w:val="22"/>
        </w:rPr>
        <w:t>della</w:t>
      </w:r>
      <w:r>
        <w:rPr>
          <w:color w:val="010202"/>
          <w:spacing w:val="-2"/>
          <w:sz w:val="22"/>
        </w:rPr>
        <w:t> </w:t>
      </w:r>
      <w:r>
        <w:rPr>
          <w:color w:val="010202"/>
          <w:sz w:val="22"/>
        </w:rPr>
        <w:t>corruzione</w:t>
      </w:r>
      <w:r>
        <w:rPr>
          <w:color w:val="010202"/>
          <w:spacing w:val="-2"/>
          <w:sz w:val="22"/>
        </w:rPr>
        <w:t> </w:t>
      </w:r>
      <w:r>
        <w:rPr>
          <w:color w:val="010202"/>
          <w:sz w:val="22"/>
        </w:rPr>
        <w:t>e</w:t>
      </w:r>
      <w:r>
        <w:rPr>
          <w:color w:val="010202"/>
          <w:spacing w:val="-3"/>
          <w:sz w:val="22"/>
        </w:rPr>
        <w:t> </w:t>
      </w:r>
      <w:r>
        <w:rPr>
          <w:color w:val="010202"/>
          <w:sz w:val="22"/>
        </w:rPr>
        <w:t>della</w:t>
      </w:r>
      <w:r>
        <w:rPr>
          <w:color w:val="010202"/>
          <w:spacing w:val="-6"/>
          <w:sz w:val="22"/>
        </w:rPr>
        <w:t> </w:t>
      </w:r>
      <w:r>
        <w:rPr>
          <w:color w:val="010202"/>
          <w:spacing w:val="-2"/>
          <w:sz w:val="22"/>
        </w:rPr>
        <w:t>trasparenza</w:t>
      </w:r>
    </w:p>
    <w:p>
      <w:pPr>
        <w:spacing w:before="0"/>
        <w:ind w:left="7250" w:right="413" w:hanging="24"/>
        <w:jc w:val="right"/>
        <w:rPr>
          <w:sz w:val="22"/>
        </w:rPr>
      </w:pPr>
      <w:r>
        <w:rPr>
          <w:color w:val="010202"/>
          <w:sz w:val="22"/>
        </w:rPr>
        <w:t>del</w:t>
      </w:r>
      <w:r>
        <w:rPr>
          <w:color w:val="010202"/>
          <w:spacing w:val="-10"/>
          <w:sz w:val="22"/>
        </w:rPr>
        <w:t> </w:t>
      </w:r>
      <w:r>
        <w:rPr>
          <w:color w:val="010202"/>
          <w:sz w:val="22"/>
        </w:rPr>
        <w:t>Comune</w:t>
      </w:r>
      <w:r>
        <w:rPr>
          <w:color w:val="010202"/>
          <w:spacing w:val="-9"/>
          <w:sz w:val="22"/>
        </w:rPr>
        <w:t> </w:t>
      </w:r>
      <w:r>
        <w:rPr>
          <w:color w:val="010202"/>
          <w:sz w:val="22"/>
        </w:rPr>
        <w:t>di</w:t>
      </w:r>
      <w:r>
        <w:rPr>
          <w:color w:val="010202"/>
          <w:spacing w:val="-10"/>
          <w:sz w:val="22"/>
        </w:rPr>
        <w:t> </w:t>
      </w:r>
      <w:r>
        <w:rPr>
          <w:color w:val="010202"/>
          <w:sz w:val="22"/>
        </w:rPr>
        <w:t>Livorno</w:t>
      </w:r>
      <w:r>
        <w:rPr>
          <w:color w:val="010202"/>
          <w:spacing w:val="-10"/>
          <w:sz w:val="22"/>
        </w:rPr>
        <w:t> </w:t>
      </w:r>
      <w:r>
        <w:rPr>
          <w:color w:val="010202"/>
          <w:sz w:val="22"/>
        </w:rPr>
        <w:t>Ferraris Via</w:t>
      </w:r>
      <w:r>
        <w:rPr>
          <w:color w:val="010202"/>
          <w:spacing w:val="-7"/>
          <w:sz w:val="22"/>
        </w:rPr>
        <w:t> </w:t>
      </w:r>
      <w:r>
        <w:rPr>
          <w:color w:val="010202"/>
          <w:sz w:val="22"/>
        </w:rPr>
        <w:t>Martiri</w:t>
      </w:r>
      <w:r>
        <w:rPr>
          <w:color w:val="010202"/>
          <w:spacing w:val="-7"/>
          <w:sz w:val="22"/>
        </w:rPr>
        <w:t> </w:t>
      </w:r>
      <w:r>
        <w:rPr>
          <w:color w:val="010202"/>
          <w:sz w:val="22"/>
        </w:rPr>
        <w:t>della</w:t>
      </w:r>
      <w:r>
        <w:rPr>
          <w:color w:val="010202"/>
          <w:spacing w:val="-7"/>
          <w:sz w:val="22"/>
        </w:rPr>
        <w:t> </w:t>
      </w:r>
      <w:r>
        <w:rPr>
          <w:color w:val="010202"/>
          <w:sz w:val="22"/>
        </w:rPr>
        <w:t>Libertà</w:t>
      </w:r>
      <w:r>
        <w:rPr>
          <w:color w:val="010202"/>
          <w:spacing w:val="-8"/>
          <w:sz w:val="22"/>
        </w:rPr>
        <w:t> </w:t>
      </w:r>
      <w:r>
        <w:rPr>
          <w:color w:val="010202"/>
          <w:sz w:val="22"/>
        </w:rPr>
        <w:t>n.</w:t>
      </w:r>
      <w:r>
        <w:rPr>
          <w:color w:val="010202"/>
          <w:spacing w:val="-10"/>
          <w:sz w:val="22"/>
        </w:rPr>
        <w:t> </w:t>
      </w:r>
      <w:r>
        <w:rPr>
          <w:color w:val="010202"/>
          <w:sz w:val="22"/>
        </w:rPr>
        <w:t>100 13046 Livorno Ferraris (VC)</w:t>
      </w:r>
    </w:p>
    <w:p>
      <w:pPr>
        <w:spacing w:line="240" w:lineRule="auto" w:before="28" w:after="1"/>
        <w:rPr>
          <w:sz w:val="20"/>
        </w:rPr>
      </w:pPr>
    </w:p>
    <w:tbl>
      <w:tblPr>
        <w:tblW w:w="0" w:type="auto"/>
        <w:jc w:val="left"/>
        <w:tblInd w:w="58" w:type="dxa"/>
        <w:tblBorders>
          <w:top w:val="single" w:sz="4" w:space="0" w:color="010202"/>
          <w:left w:val="single" w:sz="4" w:space="0" w:color="010202"/>
          <w:bottom w:val="single" w:sz="4" w:space="0" w:color="010202"/>
          <w:right w:val="single" w:sz="4" w:space="0" w:color="010202"/>
          <w:insideH w:val="single" w:sz="4" w:space="0" w:color="010202"/>
          <w:insideV w:val="single" w:sz="4" w:space="0" w:color="01020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49"/>
        <w:gridCol w:w="5055"/>
      </w:tblGrid>
      <w:tr>
        <w:trPr>
          <w:trHeight w:val="757" w:hRule="atLeast"/>
        </w:trPr>
        <w:tc>
          <w:tcPr>
            <w:tcW w:w="4949" w:type="dxa"/>
            <w:shd w:val="clear" w:color="auto" w:fill="D7D7D7"/>
          </w:tcPr>
          <w:p>
            <w:pPr>
              <w:pStyle w:val="TableParagraph"/>
              <w:spacing w:before="253"/>
              <w:ind w:left="107"/>
              <w:rPr>
                <w:sz w:val="22"/>
              </w:rPr>
            </w:pPr>
            <w:r>
              <w:rPr>
                <w:color w:val="010202"/>
                <w:w w:val="105"/>
                <w:sz w:val="22"/>
              </w:rPr>
              <w:t>Data</w:t>
            </w:r>
            <w:r>
              <w:rPr>
                <w:color w:val="010202"/>
                <w:spacing w:val="-3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in</w:t>
            </w:r>
            <w:r>
              <w:rPr>
                <w:color w:val="010202"/>
                <w:spacing w:val="-6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cui</w:t>
            </w:r>
            <w:r>
              <w:rPr>
                <w:color w:val="010202"/>
                <w:spacing w:val="-3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si</w:t>
            </w:r>
            <w:r>
              <w:rPr>
                <w:color w:val="010202"/>
                <w:spacing w:val="-3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è</w:t>
            </w:r>
            <w:r>
              <w:rPr>
                <w:color w:val="010202"/>
                <w:spacing w:val="-6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verificato</w:t>
            </w:r>
            <w:r>
              <w:rPr>
                <w:color w:val="010202"/>
                <w:spacing w:val="-6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il</w:t>
            </w:r>
            <w:r>
              <w:rPr>
                <w:color w:val="010202"/>
                <w:spacing w:val="-2"/>
                <w:w w:val="105"/>
                <w:sz w:val="22"/>
              </w:rPr>
              <w:t> fatto</w:t>
            </w:r>
          </w:p>
        </w:tc>
        <w:tc>
          <w:tcPr>
            <w:tcW w:w="505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012" w:hRule="atLeast"/>
        </w:trPr>
        <w:tc>
          <w:tcPr>
            <w:tcW w:w="4949" w:type="dxa"/>
            <w:shd w:val="clear" w:color="auto" w:fill="D7D7D7"/>
          </w:tcPr>
          <w:p>
            <w:pPr>
              <w:pStyle w:val="TableParagraph"/>
              <w:spacing w:before="253"/>
              <w:ind w:left="107" w:right="154"/>
              <w:rPr>
                <w:sz w:val="22"/>
              </w:rPr>
            </w:pPr>
            <w:r>
              <w:rPr>
                <w:color w:val="010202"/>
                <w:w w:val="105"/>
                <w:sz w:val="22"/>
              </w:rPr>
              <w:t>Servizio/Ufficio</w:t>
            </w:r>
            <w:r>
              <w:rPr>
                <w:color w:val="010202"/>
                <w:spacing w:val="-15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dell’Amministrazione</w:t>
            </w:r>
            <w:r>
              <w:rPr>
                <w:color w:val="010202"/>
                <w:spacing w:val="-14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comunale</w:t>
            </w:r>
            <w:r>
              <w:rPr>
                <w:color w:val="010202"/>
                <w:spacing w:val="-15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a cui può essere riferito il fatto</w:t>
            </w:r>
          </w:p>
        </w:tc>
        <w:tc>
          <w:tcPr>
            <w:tcW w:w="505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60" w:hRule="atLeast"/>
        </w:trPr>
        <w:tc>
          <w:tcPr>
            <w:tcW w:w="4949" w:type="dxa"/>
            <w:shd w:val="clear" w:color="auto" w:fill="D7D7D7"/>
          </w:tcPr>
          <w:p>
            <w:pPr>
              <w:pStyle w:val="TableParagraph"/>
              <w:spacing w:before="253"/>
              <w:ind w:left="107"/>
              <w:rPr>
                <w:sz w:val="22"/>
              </w:rPr>
            </w:pPr>
            <w:r>
              <w:rPr>
                <w:color w:val="010202"/>
                <w:w w:val="105"/>
                <w:sz w:val="22"/>
              </w:rPr>
              <w:t>Soggetto</w:t>
            </w:r>
            <w:r>
              <w:rPr>
                <w:color w:val="010202"/>
                <w:spacing w:val="-13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che</w:t>
            </w:r>
            <w:r>
              <w:rPr>
                <w:color w:val="010202"/>
                <w:spacing w:val="-12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ha</w:t>
            </w:r>
            <w:r>
              <w:rPr>
                <w:color w:val="010202"/>
                <w:spacing w:val="-13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commesso</w:t>
            </w:r>
            <w:r>
              <w:rPr>
                <w:color w:val="010202"/>
                <w:spacing w:val="-12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il</w:t>
            </w:r>
            <w:r>
              <w:rPr>
                <w:color w:val="010202"/>
                <w:spacing w:val="-13"/>
                <w:w w:val="105"/>
                <w:sz w:val="22"/>
              </w:rPr>
              <w:t> </w:t>
            </w:r>
            <w:r>
              <w:rPr>
                <w:color w:val="010202"/>
                <w:spacing w:val="-4"/>
                <w:w w:val="105"/>
                <w:sz w:val="22"/>
              </w:rPr>
              <w:t>fatto</w:t>
            </w:r>
          </w:p>
        </w:tc>
        <w:tc>
          <w:tcPr>
            <w:tcW w:w="505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57" w:hRule="atLeast"/>
        </w:trPr>
        <w:tc>
          <w:tcPr>
            <w:tcW w:w="4949" w:type="dxa"/>
            <w:shd w:val="clear" w:color="auto" w:fill="D7D7D7"/>
          </w:tcPr>
          <w:p>
            <w:pPr>
              <w:pStyle w:val="TableParagraph"/>
              <w:spacing w:before="250"/>
              <w:ind w:left="107"/>
              <w:rPr>
                <w:sz w:val="22"/>
              </w:rPr>
            </w:pPr>
            <w:r>
              <w:rPr>
                <w:color w:val="010202"/>
                <w:w w:val="105"/>
                <w:sz w:val="22"/>
              </w:rPr>
              <w:t>Eventuali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soggetti</w:t>
            </w:r>
            <w:r>
              <w:rPr>
                <w:color w:val="010202"/>
                <w:spacing w:val="-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che</w:t>
            </w:r>
            <w:r>
              <w:rPr>
                <w:color w:val="010202"/>
                <w:spacing w:val="-4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possono</w:t>
            </w:r>
            <w:r>
              <w:rPr>
                <w:color w:val="010202"/>
                <w:spacing w:val="-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riferire sul</w:t>
            </w:r>
            <w:r>
              <w:rPr>
                <w:color w:val="010202"/>
                <w:spacing w:val="-1"/>
                <w:w w:val="105"/>
                <w:sz w:val="22"/>
              </w:rPr>
              <w:t> </w:t>
            </w:r>
            <w:r>
              <w:rPr>
                <w:color w:val="010202"/>
                <w:spacing w:val="-4"/>
                <w:w w:val="105"/>
                <w:sz w:val="22"/>
              </w:rPr>
              <w:t>fatto</w:t>
            </w:r>
          </w:p>
        </w:tc>
        <w:tc>
          <w:tcPr>
            <w:tcW w:w="505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57" w:hRule="atLeast"/>
        </w:trPr>
        <w:tc>
          <w:tcPr>
            <w:tcW w:w="4949" w:type="dxa"/>
            <w:shd w:val="clear" w:color="auto" w:fill="D7D7D7"/>
          </w:tcPr>
          <w:p>
            <w:pPr>
              <w:pStyle w:val="TableParagraph"/>
              <w:spacing w:before="253"/>
              <w:ind w:left="107"/>
              <w:rPr>
                <w:sz w:val="22"/>
              </w:rPr>
            </w:pPr>
            <w:r>
              <w:rPr>
                <w:color w:val="010202"/>
                <w:w w:val="105"/>
                <w:sz w:val="22"/>
              </w:rPr>
              <w:t>Modalità</w:t>
            </w:r>
            <w:r>
              <w:rPr>
                <w:color w:val="010202"/>
                <w:spacing w:val="-5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con</w:t>
            </w:r>
            <w:r>
              <w:rPr>
                <w:color w:val="010202"/>
                <w:spacing w:val="-7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cui</w:t>
            </w:r>
            <w:r>
              <w:rPr>
                <w:color w:val="010202"/>
                <w:spacing w:val="-5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si</w:t>
            </w:r>
            <w:r>
              <w:rPr>
                <w:color w:val="010202"/>
                <w:spacing w:val="-3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è</w:t>
            </w:r>
            <w:r>
              <w:rPr>
                <w:color w:val="010202"/>
                <w:spacing w:val="-7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venuti</w:t>
            </w:r>
            <w:r>
              <w:rPr>
                <w:color w:val="010202"/>
                <w:spacing w:val="-5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a</w:t>
            </w:r>
            <w:r>
              <w:rPr>
                <w:color w:val="010202"/>
                <w:spacing w:val="-8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conoscenza</w:t>
            </w:r>
            <w:r>
              <w:rPr>
                <w:color w:val="010202"/>
                <w:spacing w:val="-5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del</w:t>
            </w:r>
            <w:r>
              <w:rPr>
                <w:color w:val="010202"/>
                <w:spacing w:val="-7"/>
                <w:w w:val="105"/>
                <w:sz w:val="22"/>
              </w:rPr>
              <w:t> </w:t>
            </w:r>
            <w:r>
              <w:rPr>
                <w:color w:val="010202"/>
                <w:spacing w:val="-4"/>
                <w:w w:val="105"/>
                <w:sz w:val="22"/>
              </w:rPr>
              <w:t>fatto</w:t>
            </w:r>
          </w:p>
        </w:tc>
        <w:tc>
          <w:tcPr>
            <w:tcW w:w="505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313" w:hRule="atLeast"/>
        </w:trPr>
        <w:tc>
          <w:tcPr>
            <w:tcW w:w="4949" w:type="dxa"/>
            <w:shd w:val="clear" w:color="auto" w:fill="D7D7D7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07"/>
              <w:rPr>
                <w:sz w:val="22"/>
              </w:rPr>
            </w:pPr>
            <w:r>
              <w:rPr>
                <w:color w:val="010202"/>
                <w:spacing w:val="-2"/>
                <w:w w:val="105"/>
                <w:sz w:val="22"/>
              </w:rPr>
              <w:t>Descrizione</w:t>
            </w:r>
            <w:r>
              <w:rPr>
                <w:color w:val="010202"/>
                <w:spacing w:val="-1"/>
                <w:w w:val="105"/>
                <w:sz w:val="22"/>
              </w:rPr>
              <w:t> </w:t>
            </w:r>
            <w:r>
              <w:rPr>
                <w:color w:val="010202"/>
                <w:spacing w:val="-2"/>
                <w:w w:val="105"/>
                <w:sz w:val="22"/>
              </w:rPr>
              <w:t>del</w:t>
            </w:r>
            <w:r>
              <w:rPr>
                <w:color w:val="010202"/>
                <w:spacing w:val="-4"/>
                <w:w w:val="105"/>
                <w:sz w:val="22"/>
              </w:rPr>
              <w:t> </w:t>
            </w:r>
            <w:r>
              <w:rPr>
                <w:color w:val="010202"/>
                <w:spacing w:val="-2"/>
                <w:w w:val="105"/>
                <w:sz w:val="22"/>
              </w:rPr>
              <w:t>fatto</w:t>
            </w:r>
          </w:p>
        </w:tc>
        <w:tc>
          <w:tcPr>
            <w:tcW w:w="505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60" w:hRule="atLeast"/>
        </w:trPr>
        <w:tc>
          <w:tcPr>
            <w:tcW w:w="4949" w:type="dxa"/>
            <w:shd w:val="clear" w:color="auto" w:fill="D7D7D7"/>
          </w:tcPr>
          <w:p>
            <w:pPr>
              <w:pStyle w:val="TableParagraph"/>
              <w:spacing w:before="253"/>
              <w:ind w:left="107"/>
              <w:rPr>
                <w:sz w:val="22"/>
              </w:rPr>
            </w:pPr>
            <w:r>
              <w:rPr>
                <w:color w:val="010202"/>
                <w:w w:val="105"/>
                <w:sz w:val="22"/>
              </w:rPr>
              <w:t>Eventuali</w:t>
            </w:r>
            <w:r>
              <w:rPr>
                <w:color w:val="010202"/>
                <w:spacing w:val="7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allegati</w:t>
            </w:r>
            <w:r>
              <w:rPr>
                <w:color w:val="010202"/>
                <w:spacing w:val="5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a</w:t>
            </w:r>
            <w:r>
              <w:rPr>
                <w:color w:val="010202"/>
                <w:spacing w:val="2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corredo</w:t>
            </w:r>
            <w:r>
              <w:rPr>
                <w:color w:val="010202"/>
                <w:spacing w:val="5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della</w:t>
            </w:r>
            <w:r>
              <w:rPr>
                <w:color w:val="010202"/>
                <w:spacing w:val="8"/>
                <w:w w:val="105"/>
                <w:sz w:val="22"/>
              </w:rPr>
              <w:t> </w:t>
            </w:r>
            <w:r>
              <w:rPr>
                <w:color w:val="010202"/>
                <w:spacing w:val="-2"/>
                <w:w w:val="105"/>
                <w:sz w:val="22"/>
              </w:rPr>
              <w:t>segnalazione</w:t>
            </w:r>
          </w:p>
        </w:tc>
        <w:tc>
          <w:tcPr>
            <w:tcW w:w="5055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before="228"/>
        <w:ind w:left="52" w:right="309" w:firstLine="0"/>
        <w:jc w:val="left"/>
        <w:rPr>
          <w:sz w:val="22"/>
        </w:rPr>
      </w:pPr>
      <w:r>
        <w:rPr>
          <w:color w:val="010202"/>
          <w:sz w:val="22"/>
        </w:rPr>
        <w:t>La condotta è ritenuta illecita perché, ai sensi dell’art. 2, comma 1, lett. a), del D.lgs n. 24/2023, rientra in una</w:t>
      </w:r>
      <w:r>
        <w:rPr>
          <w:color w:val="010202"/>
          <w:spacing w:val="80"/>
          <w:sz w:val="22"/>
        </w:rPr>
        <w:t> </w:t>
      </w:r>
      <w:r>
        <w:rPr>
          <w:color w:val="010202"/>
          <w:sz w:val="22"/>
        </w:rPr>
        <w:t>delle seguenti fattispecie (selezionare la fattispecie):</w:t>
      </w:r>
    </w:p>
    <w:p>
      <w:pPr>
        <w:spacing w:after="0"/>
        <w:jc w:val="left"/>
        <w:rPr>
          <w:sz w:val="22"/>
        </w:rPr>
        <w:sectPr>
          <w:type w:val="continuous"/>
          <w:pgSz w:w="12240" w:h="15840"/>
          <w:pgMar w:top="1340" w:bottom="280" w:left="1080" w:right="720"/>
        </w:sectPr>
      </w:pPr>
    </w:p>
    <w:tbl>
      <w:tblPr>
        <w:tblW w:w="0" w:type="auto"/>
        <w:jc w:val="left"/>
        <w:tblInd w:w="58" w:type="dxa"/>
        <w:tblBorders>
          <w:top w:val="single" w:sz="4" w:space="0" w:color="010202"/>
          <w:left w:val="single" w:sz="4" w:space="0" w:color="010202"/>
          <w:bottom w:val="single" w:sz="4" w:space="0" w:color="010202"/>
          <w:right w:val="single" w:sz="4" w:space="0" w:color="010202"/>
          <w:insideH w:val="single" w:sz="4" w:space="0" w:color="010202"/>
          <w:insideV w:val="single" w:sz="4" w:space="0" w:color="01020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7"/>
        <w:gridCol w:w="3259"/>
        <w:gridCol w:w="6521"/>
      </w:tblGrid>
      <w:tr>
        <w:trPr>
          <w:trHeight w:val="505" w:hRule="atLeast"/>
        </w:trPr>
        <w:tc>
          <w:tcPr>
            <w:tcW w:w="427" w:type="dxa"/>
          </w:tcPr>
          <w:p>
            <w:pPr>
              <w:pStyle w:val="TableParagraph"/>
              <w:spacing w:before="3"/>
              <w:ind w:right="37"/>
              <w:jc w:val="center"/>
              <w:rPr>
                <w:sz w:val="22"/>
              </w:rPr>
            </w:pPr>
            <w:r>
              <w:rPr>
                <w:color w:val="010202"/>
                <w:spacing w:val="-10"/>
                <w:w w:val="130"/>
                <w:sz w:val="22"/>
              </w:rPr>
              <w:t>□</w:t>
            </w:r>
          </w:p>
        </w:tc>
        <w:tc>
          <w:tcPr>
            <w:tcW w:w="3259" w:type="dxa"/>
            <w:shd w:val="clear" w:color="auto" w:fill="D7D7D7"/>
          </w:tcPr>
          <w:p>
            <w:pPr>
              <w:pStyle w:val="TableParagraph"/>
              <w:spacing w:line="251" w:lineRule="exact"/>
              <w:ind w:right="122"/>
              <w:jc w:val="center"/>
              <w:rPr>
                <w:sz w:val="22"/>
              </w:rPr>
            </w:pPr>
            <w:r>
              <w:rPr>
                <w:color w:val="010202"/>
                <w:w w:val="105"/>
                <w:sz w:val="22"/>
              </w:rPr>
              <w:t>Art. 2,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comma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1,</w:t>
            </w:r>
            <w:r>
              <w:rPr>
                <w:color w:val="010202"/>
                <w:spacing w:val="-2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lett.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a),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punto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spacing w:val="-5"/>
                <w:w w:val="105"/>
                <w:sz w:val="22"/>
              </w:rPr>
              <w:t>1)</w:t>
            </w:r>
          </w:p>
        </w:tc>
        <w:tc>
          <w:tcPr>
            <w:tcW w:w="6521" w:type="dxa"/>
          </w:tcPr>
          <w:p>
            <w:pPr>
              <w:pStyle w:val="TableParagraph"/>
              <w:spacing w:line="246" w:lineRule="exact"/>
              <w:ind w:left="4" w:right="-15"/>
              <w:rPr>
                <w:sz w:val="22"/>
              </w:rPr>
            </w:pPr>
            <w:r>
              <w:rPr>
                <w:color w:val="010202"/>
                <w:sz w:val="22"/>
              </w:rPr>
              <w:t>Illeciti</w:t>
            </w:r>
            <w:r>
              <w:rPr>
                <w:color w:val="010202"/>
                <w:spacing w:val="49"/>
                <w:sz w:val="22"/>
              </w:rPr>
              <w:t> </w:t>
            </w:r>
            <w:r>
              <w:rPr>
                <w:color w:val="010202"/>
                <w:sz w:val="22"/>
              </w:rPr>
              <w:t>amministrativi,</w:t>
            </w:r>
            <w:r>
              <w:rPr>
                <w:color w:val="010202"/>
                <w:spacing w:val="49"/>
                <w:sz w:val="22"/>
              </w:rPr>
              <w:t> </w:t>
            </w:r>
            <w:r>
              <w:rPr>
                <w:color w:val="010202"/>
                <w:sz w:val="22"/>
              </w:rPr>
              <w:t>contabili,</w:t>
            </w:r>
            <w:r>
              <w:rPr>
                <w:color w:val="010202"/>
                <w:spacing w:val="53"/>
                <w:sz w:val="22"/>
              </w:rPr>
              <w:t> </w:t>
            </w:r>
            <w:r>
              <w:rPr>
                <w:color w:val="010202"/>
                <w:sz w:val="22"/>
              </w:rPr>
              <w:t>civili</w:t>
            </w:r>
            <w:r>
              <w:rPr>
                <w:color w:val="010202"/>
                <w:spacing w:val="49"/>
                <w:sz w:val="22"/>
              </w:rPr>
              <w:t> </w:t>
            </w:r>
            <w:r>
              <w:rPr>
                <w:color w:val="010202"/>
                <w:sz w:val="22"/>
              </w:rPr>
              <w:t>o</w:t>
            </w:r>
            <w:r>
              <w:rPr>
                <w:color w:val="010202"/>
                <w:spacing w:val="50"/>
                <w:sz w:val="22"/>
              </w:rPr>
              <w:t> </w:t>
            </w:r>
            <w:r>
              <w:rPr>
                <w:color w:val="010202"/>
                <w:sz w:val="22"/>
              </w:rPr>
              <w:t>penali</w:t>
            </w:r>
            <w:r>
              <w:rPr>
                <w:color w:val="010202"/>
                <w:spacing w:val="52"/>
                <w:sz w:val="22"/>
              </w:rPr>
              <w:t> </w:t>
            </w:r>
            <w:r>
              <w:rPr>
                <w:color w:val="010202"/>
                <w:sz w:val="22"/>
              </w:rPr>
              <w:t>che</w:t>
            </w:r>
            <w:r>
              <w:rPr>
                <w:color w:val="010202"/>
                <w:spacing w:val="50"/>
                <w:sz w:val="22"/>
              </w:rPr>
              <w:t> </w:t>
            </w:r>
            <w:r>
              <w:rPr>
                <w:color w:val="010202"/>
                <w:sz w:val="22"/>
              </w:rPr>
              <w:t>non</w:t>
            </w:r>
            <w:r>
              <w:rPr>
                <w:color w:val="010202"/>
                <w:spacing w:val="49"/>
                <w:sz w:val="22"/>
              </w:rPr>
              <w:t> </w:t>
            </w:r>
            <w:r>
              <w:rPr>
                <w:color w:val="010202"/>
                <w:sz w:val="22"/>
              </w:rPr>
              <w:t>rientrano</w:t>
            </w:r>
            <w:r>
              <w:rPr>
                <w:color w:val="010202"/>
                <w:spacing w:val="50"/>
                <w:sz w:val="22"/>
              </w:rPr>
              <w:t> </w:t>
            </w:r>
            <w:r>
              <w:rPr>
                <w:color w:val="010202"/>
                <w:spacing w:val="-5"/>
                <w:sz w:val="22"/>
              </w:rPr>
              <w:t>nei</w:t>
            </w:r>
          </w:p>
          <w:p>
            <w:pPr>
              <w:pStyle w:val="TableParagraph"/>
              <w:spacing w:line="240" w:lineRule="exact"/>
              <w:ind w:left="4"/>
              <w:rPr>
                <w:sz w:val="22"/>
              </w:rPr>
            </w:pPr>
            <w:r>
              <w:rPr>
                <w:color w:val="010202"/>
                <w:sz w:val="22"/>
              </w:rPr>
              <w:t>punti</w:t>
            </w:r>
            <w:r>
              <w:rPr>
                <w:color w:val="010202"/>
                <w:spacing w:val="-2"/>
                <w:sz w:val="22"/>
              </w:rPr>
              <w:t> </w:t>
            </w:r>
            <w:r>
              <w:rPr>
                <w:color w:val="010202"/>
                <w:sz w:val="22"/>
              </w:rPr>
              <w:t>numeri</w:t>
            </w:r>
            <w:r>
              <w:rPr>
                <w:color w:val="010202"/>
                <w:spacing w:val="-1"/>
                <w:sz w:val="22"/>
              </w:rPr>
              <w:t> </w:t>
            </w:r>
            <w:r>
              <w:rPr>
                <w:color w:val="010202"/>
                <w:sz w:val="22"/>
              </w:rPr>
              <w:t>3),</w:t>
            </w:r>
            <w:r>
              <w:rPr>
                <w:color w:val="010202"/>
                <w:spacing w:val="-1"/>
                <w:sz w:val="22"/>
              </w:rPr>
              <w:t> </w:t>
            </w:r>
            <w:r>
              <w:rPr>
                <w:color w:val="010202"/>
                <w:sz w:val="22"/>
              </w:rPr>
              <w:t>4),</w:t>
            </w:r>
            <w:r>
              <w:rPr>
                <w:color w:val="010202"/>
                <w:spacing w:val="-4"/>
                <w:sz w:val="22"/>
              </w:rPr>
              <w:t> </w:t>
            </w:r>
            <w:r>
              <w:rPr>
                <w:color w:val="010202"/>
                <w:sz w:val="22"/>
              </w:rPr>
              <w:t>5)</w:t>
            </w:r>
            <w:r>
              <w:rPr>
                <w:color w:val="010202"/>
                <w:spacing w:val="-2"/>
                <w:sz w:val="22"/>
              </w:rPr>
              <w:t> </w:t>
            </w:r>
            <w:r>
              <w:rPr>
                <w:color w:val="010202"/>
                <w:sz w:val="22"/>
              </w:rPr>
              <w:t>e </w:t>
            </w:r>
            <w:r>
              <w:rPr>
                <w:color w:val="010202"/>
                <w:spacing w:val="-5"/>
                <w:sz w:val="22"/>
              </w:rPr>
              <w:t>6).</w:t>
            </w:r>
          </w:p>
        </w:tc>
      </w:tr>
      <w:tr>
        <w:trPr>
          <w:trHeight w:val="757" w:hRule="atLeast"/>
        </w:trPr>
        <w:tc>
          <w:tcPr>
            <w:tcW w:w="427" w:type="dxa"/>
          </w:tcPr>
          <w:p>
            <w:pPr>
              <w:pStyle w:val="TableParagraph"/>
              <w:spacing w:before="11"/>
              <w:rPr>
                <w:sz w:val="22"/>
              </w:rPr>
            </w:pPr>
          </w:p>
          <w:p>
            <w:pPr>
              <w:pStyle w:val="TableParagraph"/>
              <w:spacing w:before="1"/>
              <w:ind w:right="37"/>
              <w:jc w:val="center"/>
              <w:rPr>
                <w:sz w:val="22"/>
              </w:rPr>
            </w:pPr>
            <w:r>
              <w:rPr>
                <w:color w:val="010202"/>
                <w:spacing w:val="-10"/>
                <w:w w:val="130"/>
                <w:sz w:val="22"/>
              </w:rPr>
              <w:t>□</w:t>
            </w:r>
          </w:p>
        </w:tc>
        <w:tc>
          <w:tcPr>
            <w:tcW w:w="3259" w:type="dxa"/>
            <w:shd w:val="clear" w:color="auto" w:fill="D7D7D7"/>
          </w:tcPr>
          <w:p>
            <w:pPr>
              <w:pStyle w:val="TableParagraph"/>
              <w:spacing w:before="250"/>
              <w:ind w:right="122"/>
              <w:jc w:val="center"/>
              <w:rPr>
                <w:sz w:val="22"/>
              </w:rPr>
            </w:pPr>
            <w:r>
              <w:rPr>
                <w:color w:val="010202"/>
                <w:w w:val="105"/>
                <w:sz w:val="22"/>
              </w:rPr>
              <w:t>Art. 2,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comma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1,</w:t>
            </w:r>
            <w:r>
              <w:rPr>
                <w:color w:val="010202"/>
                <w:spacing w:val="-2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lett.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a),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punto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spacing w:val="-5"/>
                <w:w w:val="105"/>
                <w:sz w:val="22"/>
              </w:rPr>
              <w:t>2)</w:t>
            </w:r>
          </w:p>
        </w:tc>
        <w:tc>
          <w:tcPr>
            <w:tcW w:w="6521" w:type="dxa"/>
          </w:tcPr>
          <w:p>
            <w:pPr>
              <w:pStyle w:val="TableParagraph"/>
              <w:spacing w:line="246" w:lineRule="exact"/>
              <w:ind w:left="4" w:right="-15"/>
              <w:rPr>
                <w:sz w:val="22"/>
              </w:rPr>
            </w:pPr>
            <w:r>
              <w:rPr>
                <w:color w:val="010202"/>
                <w:sz w:val="22"/>
              </w:rPr>
              <w:t>Condotte</w:t>
            </w:r>
            <w:r>
              <w:rPr>
                <w:color w:val="010202"/>
                <w:spacing w:val="16"/>
                <w:sz w:val="22"/>
              </w:rPr>
              <w:t> </w:t>
            </w:r>
            <w:r>
              <w:rPr>
                <w:color w:val="010202"/>
                <w:sz w:val="22"/>
              </w:rPr>
              <w:t>illecite</w:t>
            </w:r>
            <w:r>
              <w:rPr>
                <w:color w:val="010202"/>
                <w:spacing w:val="13"/>
                <w:sz w:val="22"/>
              </w:rPr>
              <w:t> </w:t>
            </w:r>
            <w:r>
              <w:rPr>
                <w:color w:val="010202"/>
                <w:sz w:val="22"/>
              </w:rPr>
              <w:t>rilevanti</w:t>
            </w:r>
            <w:r>
              <w:rPr>
                <w:color w:val="010202"/>
                <w:spacing w:val="16"/>
                <w:sz w:val="22"/>
              </w:rPr>
              <w:t> </w:t>
            </w:r>
            <w:r>
              <w:rPr>
                <w:color w:val="010202"/>
                <w:sz w:val="22"/>
              </w:rPr>
              <w:t>ai</w:t>
            </w:r>
            <w:r>
              <w:rPr>
                <w:color w:val="010202"/>
                <w:spacing w:val="12"/>
                <w:sz w:val="22"/>
              </w:rPr>
              <w:t> </w:t>
            </w:r>
            <w:r>
              <w:rPr>
                <w:color w:val="010202"/>
                <w:sz w:val="22"/>
              </w:rPr>
              <w:t>sensi</w:t>
            </w:r>
            <w:r>
              <w:rPr>
                <w:color w:val="010202"/>
                <w:spacing w:val="14"/>
                <w:sz w:val="22"/>
              </w:rPr>
              <w:t> </w:t>
            </w:r>
            <w:r>
              <w:rPr>
                <w:color w:val="010202"/>
                <w:sz w:val="22"/>
              </w:rPr>
              <w:t>del</w:t>
            </w:r>
            <w:r>
              <w:rPr>
                <w:color w:val="010202"/>
                <w:spacing w:val="13"/>
                <w:sz w:val="22"/>
              </w:rPr>
              <w:t> </w:t>
            </w:r>
            <w:r>
              <w:rPr>
                <w:color w:val="010202"/>
                <w:sz w:val="22"/>
              </w:rPr>
              <w:t>decreto</w:t>
            </w:r>
            <w:r>
              <w:rPr>
                <w:color w:val="010202"/>
                <w:spacing w:val="14"/>
                <w:sz w:val="22"/>
              </w:rPr>
              <w:t> </w:t>
            </w:r>
            <w:r>
              <w:rPr>
                <w:color w:val="010202"/>
                <w:sz w:val="22"/>
              </w:rPr>
              <w:t>legislativo</w:t>
            </w:r>
            <w:r>
              <w:rPr>
                <w:color w:val="010202"/>
                <w:spacing w:val="15"/>
                <w:sz w:val="22"/>
              </w:rPr>
              <w:t> </w:t>
            </w:r>
            <w:r>
              <w:rPr>
                <w:color w:val="010202"/>
                <w:sz w:val="22"/>
              </w:rPr>
              <w:t>8</w:t>
            </w:r>
            <w:r>
              <w:rPr>
                <w:color w:val="010202"/>
                <w:spacing w:val="14"/>
                <w:sz w:val="22"/>
              </w:rPr>
              <w:t> </w:t>
            </w:r>
            <w:r>
              <w:rPr>
                <w:color w:val="010202"/>
                <w:sz w:val="22"/>
              </w:rPr>
              <w:t>giugno</w:t>
            </w:r>
            <w:r>
              <w:rPr>
                <w:color w:val="010202"/>
                <w:spacing w:val="13"/>
                <w:sz w:val="22"/>
              </w:rPr>
              <w:t> </w:t>
            </w:r>
            <w:r>
              <w:rPr>
                <w:color w:val="010202"/>
                <w:spacing w:val="-2"/>
                <w:sz w:val="22"/>
              </w:rPr>
              <w:t>2001,</w:t>
            </w:r>
          </w:p>
          <w:p>
            <w:pPr>
              <w:pStyle w:val="TableParagraph"/>
              <w:spacing w:line="254" w:lineRule="exact"/>
              <w:ind w:left="4" w:right="-15"/>
              <w:rPr>
                <w:sz w:val="22"/>
              </w:rPr>
            </w:pPr>
            <w:r>
              <w:rPr>
                <w:color w:val="010202"/>
                <w:sz w:val="22"/>
              </w:rPr>
              <w:t>n. 231, o violazioni dei modelli di organizzazione e gestione ivi previsti, che non rientrano nei punti numeri 3), 4), 5), e 6).</w:t>
            </w:r>
          </w:p>
        </w:tc>
      </w:tr>
      <w:tr>
        <w:trPr>
          <w:trHeight w:val="3035" w:hRule="atLeast"/>
        </w:trPr>
        <w:tc>
          <w:tcPr>
            <w:tcW w:w="42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3"/>
              <w:rPr>
                <w:sz w:val="22"/>
              </w:rPr>
            </w:pPr>
          </w:p>
          <w:p>
            <w:pPr>
              <w:pStyle w:val="TableParagraph"/>
              <w:ind w:right="37"/>
              <w:jc w:val="center"/>
              <w:rPr>
                <w:sz w:val="22"/>
              </w:rPr>
            </w:pPr>
            <w:r>
              <w:rPr>
                <w:color w:val="010202"/>
                <w:spacing w:val="-10"/>
                <w:w w:val="130"/>
                <w:sz w:val="22"/>
              </w:rPr>
              <w:t>□</w:t>
            </w:r>
          </w:p>
        </w:tc>
        <w:tc>
          <w:tcPr>
            <w:tcW w:w="3259" w:type="dxa"/>
            <w:shd w:val="clear" w:color="auto" w:fill="D7D7D7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52"/>
              <w:rPr>
                <w:sz w:val="22"/>
              </w:rPr>
            </w:pPr>
          </w:p>
          <w:p>
            <w:pPr>
              <w:pStyle w:val="TableParagraph"/>
              <w:ind w:right="122"/>
              <w:jc w:val="center"/>
              <w:rPr>
                <w:sz w:val="22"/>
              </w:rPr>
            </w:pPr>
            <w:r>
              <w:rPr>
                <w:color w:val="010202"/>
                <w:w w:val="105"/>
                <w:sz w:val="22"/>
              </w:rPr>
              <w:t>Art. 2,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comma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1,</w:t>
            </w:r>
            <w:r>
              <w:rPr>
                <w:color w:val="010202"/>
                <w:spacing w:val="-2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lett.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a),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punto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spacing w:val="-5"/>
                <w:w w:val="105"/>
                <w:sz w:val="22"/>
              </w:rPr>
              <w:t>3)</w:t>
            </w:r>
          </w:p>
        </w:tc>
        <w:tc>
          <w:tcPr>
            <w:tcW w:w="6521" w:type="dxa"/>
          </w:tcPr>
          <w:p>
            <w:pPr>
              <w:pStyle w:val="TableParagraph"/>
              <w:ind w:left="4" w:right="-15"/>
              <w:jc w:val="both"/>
              <w:rPr>
                <w:sz w:val="22"/>
              </w:rPr>
            </w:pPr>
            <w:r>
              <w:rPr>
                <w:color w:val="010202"/>
                <w:sz w:val="22"/>
              </w:rPr>
              <w:t>Illeciti che rientrano nell’ambito di applicazione degli atti dell’Unione europea o nazionali indicati nell'allegato al d.lgs. n. 24/2023 ovvero degli atti nazionali che costituiscono attuazione degli atti dell’Unione europea indicati nell’allegato alla direttiva (UE) 2019/1937, seppur non indicati nell'allegato summenzionato, relativi ai seguenti settori: appalti pubblici; servizi, prodotti e mercati finanziari e prevenzione del riciclaggio e del finanziamento del terrorismo; sicurezza e conformità dei prodotti; sicurezza dei trasporti; tutela dell'ambiente; radioprotezione e sicurezza nucleare; sicurezza degli alimenti e dei mangimi e salute e benessere</w:t>
            </w:r>
            <w:r>
              <w:rPr>
                <w:color w:val="010202"/>
                <w:spacing w:val="40"/>
                <w:sz w:val="22"/>
              </w:rPr>
              <w:t> </w:t>
            </w:r>
            <w:r>
              <w:rPr>
                <w:color w:val="010202"/>
                <w:sz w:val="22"/>
              </w:rPr>
              <w:t>degli animali; salute pubblica; protezione dei consumatori; tutela della vita</w:t>
            </w:r>
            <w:r>
              <w:rPr>
                <w:color w:val="010202"/>
                <w:spacing w:val="33"/>
                <w:sz w:val="22"/>
              </w:rPr>
              <w:t> </w:t>
            </w:r>
            <w:r>
              <w:rPr>
                <w:color w:val="010202"/>
                <w:sz w:val="22"/>
              </w:rPr>
              <w:t>privata</w:t>
            </w:r>
            <w:r>
              <w:rPr>
                <w:color w:val="010202"/>
                <w:spacing w:val="36"/>
                <w:sz w:val="22"/>
              </w:rPr>
              <w:t> </w:t>
            </w:r>
            <w:r>
              <w:rPr>
                <w:color w:val="010202"/>
                <w:sz w:val="22"/>
              </w:rPr>
              <w:t>e</w:t>
            </w:r>
            <w:r>
              <w:rPr>
                <w:color w:val="010202"/>
                <w:spacing w:val="39"/>
                <w:sz w:val="22"/>
              </w:rPr>
              <w:t> </w:t>
            </w:r>
            <w:r>
              <w:rPr>
                <w:color w:val="010202"/>
                <w:sz w:val="22"/>
              </w:rPr>
              <w:t>protezione</w:t>
            </w:r>
            <w:r>
              <w:rPr>
                <w:color w:val="010202"/>
                <w:spacing w:val="36"/>
                <w:sz w:val="22"/>
              </w:rPr>
              <w:t> </w:t>
            </w:r>
            <w:r>
              <w:rPr>
                <w:color w:val="010202"/>
                <w:sz w:val="22"/>
              </w:rPr>
              <w:t>dei</w:t>
            </w:r>
            <w:r>
              <w:rPr>
                <w:color w:val="010202"/>
                <w:spacing w:val="37"/>
                <w:sz w:val="22"/>
              </w:rPr>
              <w:t> </w:t>
            </w:r>
            <w:r>
              <w:rPr>
                <w:color w:val="010202"/>
                <w:sz w:val="22"/>
              </w:rPr>
              <w:t>dati</w:t>
            </w:r>
            <w:r>
              <w:rPr>
                <w:color w:val="010202"/>
                <w:spacing w:val="38"/>
                <w:sz w:val="22"/>
              </w:rPr>
              <w:t> </w:t>
            </w:r>
            <w:r>
              <w:rPr>
                <w:color w:val="010202"/>
                <w:sz w:val="22"/>
              </w:rPr>
              <w:t>personali</w:t>
            </w:r>
            <w:r>
              <w:rPr>
                <w:color w:val="010202"/>
                <w:spacing w:val="38"/>
                <w:sz w:val="22"/>
              </w:rPr>
              <w:t> </w:t>
            </w:r>
            <w:r>
              <w:rPr>
                <w:color w:val="010202"/>
                <w:sz w:val="22"/>
              </w:rPr>
              <w:t>e</w:t>
            </w:r>
            <w:r>
              <w:rPr>
                <w:color w:val="010202"/>
                <w:spacing w:val="36"/>
                <w:sz w:val="22"/>
              </w:rPr>
              <w:t> </w:t>
            </w:r>
            <w:r>
              <w:rPr>
                <w:color w:val="010202"/>
                <w:sz w:val="22"/>
              </w:rPr>
              <w:t>sicurezza</w:t>
            </w:r>
            <w:r>
              <w:rPr>
                <w:color w:val="010202"/>
                <w:spacing w:val="36"/>
                <w:sz w:val="22"/>
              </w:rPr>
              <w:t> </w:t>
            </w:r>
            <w:r>
              <w:rPr>
                <w:color w:val="010202"/>
                <w:sz w:val="22"/>
              </w:rPr>
              <w:t>delle</w:t>
            </w:r>
            <w:r>
              <w:rPr>
                <w:color w:val="010202"/>
                <w:spacing w:val="35"/>
                <w:sz w:val="22"/>
              </w:rPr>
              <w:t> </w:t>
            </w:r>
            <w:r>
              <w:rPr>
                <w:color w:val="010202"/>
                <w:sz w:val="22"/>
              </w:rPr>
              <w:t>reti</w:t>
            </w:r>
            <w:r>
              <w:rPr>
                <w:color w:val="010202"/>
                <w:spacing w:val="38"/>
                <w:sz w:val="22"/>
              </w:rPr>
              <w:t> </w:t>
            </w:r>
            <w:r>
              <w:rPr>
                <w:color w:val="010202"/>
                <w:sz w:val="22"/>
              </w:rPr>
              <w:t>e</w:t>
            </w:r>
            <w:r>
              <w:rPr>
                <w:color w:val="010202"/>
                <w:spacing w:val="37"/>
                <w:sz w:val="22"/>
              </w:rPr>
              <w:t> </w:t>
            </w:r>
            <w:r>
              <w:rPr>
                <w:color w:val="010202"/>
                <w:spacing w:val="-5"/>
                <w:sz w:val="22"/>
              </w:rPr>
              <w:t>dei</w:t>
            </w:r>
          </w:p>
          <w:p>
            <w:pPr>
              <w:pStyle w:val="TableParagraph"/>
              <w:spacing w:line="238" w:lineRule="exact"/>
              <w:ind w:left="4"/>
              <w:jc w:val="both"/>
              <w:rPr>
                <w:sz w:val="22"/>
              </w:rPr>
            </w:pPr>
            <w:r>
              <w:rPr>
                <w:color w:val="010202"/>
                <w:sz w:val="22"/>
              </w:rPr>
              <w:t>sistemi</w:t>
            </w:r>
            <w:r>
              <w:rPr>
                <w:color w:val="010202"/>
                <w:spacing w:val="-2"/>
                <w:sz w:val="22"/>
              </w:rPr>
              <w:t> informativi.</w:t>
            </w:r>
          </w:p>
        </w:tc>
      </w:tr>
      <w:tr>
        <w:trPr>
          <w:trHeight w:val="760" w:hRule="atLeast"/>
        </w:trPr>
        <w:tc>
          <w:tcPr>
            <w:tcW w:w="427" w:type="dxa"/>
          </w:tcPr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right="37"/>
              <w:jc w:val="center"/>
              <w:rPr>
                <w:sz w:val="22"/>
              </w:rPr>
            </w:pPr>
            <w:r>
              <w:rPr>
                <w:color w:val="010202"/>
                <w:spacing w:val="-10"/>
                <w:w w:val="130"/>
                <w:sz w:val="22"/>
              </w:rPr>
              <w:t>□</w:t>
            </w:r>
          </w:p>
        </w:tc>
        <w:tc>
          <w:tcPr>
            <w:tcW w:w="3259" w:type="dxa"/>
            <w:shd w:val="clear" w:color="auto" w:fill="D7D7D7"/>
          </w:tcPr>
          <w:p>
            <w:pPr>
              <w:pStyle w:val="TableParagraph"/>
              <w:spacing w:before="253"/>
              <w:ind w:right="122"/>
              <w:jc w:val="center"/>
              <w:rPr>
                <w:sz w:val="22"/>
              </w:rPr>
            </w:pPr>
            <w:r>
              <w:rPr>
                <w:color w:val="010202"/>
                <w:w w:val="105"/>
                <w:sz w:val="22"/>
              </w:rPr>
              <w:t>Art. 2,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comma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1,</w:t>
            </w:r>
            <w:r>
              <w:rPr>
                <w:color w:val="010202"/>
                <w:spacing w:val="-2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lett.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a),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punto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spacing w:val="-5"/>
                <w:w w:val="105"/>
                <w:sz w:val="22"/>
              </w:rPr>
              <w:t>4)</w:t>
            </w:r>
          </w:p>
        </w:tc>
        <w:tc>
          <w:tcPr>
            <w:tcW w:w="6521" w:type="dxa"/>
          </w:tcPr>
          <w:p>
            <w:pPr>
              <w:pStyle w:val="TableParagraph"/>
              <w:spacing w:line="247" w:lineRule="exact"/>
              <w:ind w:left="4" w:right="-15"/>
              <w:rPr>
                <w:sz w:val="22"/>
              </w:rPr>
            </w:pPr>
            <w:r>
              <w:rPr>
                <w:color w:val="010202"/>
                <w:sz w:val="22"/>
              </w:rPr>
              <w:t>Atti</w:t>
            </w:r>
            <w:r>
              <w:rPr>
                <w:color w:val="010202"/>
                <w:spacing w:val="30"/>
                <w:sz w:val="22"/>
              </w:rPr>
              <w:t> </w:t>
            </w:r>
            <w:r>
              <w:rPr>
                <w:color w:val="010202"/>
                <w:sz w:val="22"/>
              </w:rPr>
              <w:t>od</w:t>
            </w:r>
            <w:r>
              <w:rPr>
                <w:color w:val="010202"/>
                <w:spacing w:val="30"/>
                <w:sz w:val="22"/>
              </w:rPr>
              <w:t> </w:t>
            </w:r>
            <w:r>
              <w:rPr>
                <w:color w:val="010202"/>
                <w:sz w:val="22"/>
              </w:rPr>
              <w:t>omissioni</w:t>
            </w:r>
            <w:r>
              <w:rPr>
                <w:color w:val="010202"/>
                <w:spacing w:val="33"/>
                <w:sz w:val="22"/>
              </w:rPr>
              <w:t> </w:t>
            </w:r>
            <w:r>
              <w:rPr>
                <w:color w:val="010202"/>
                <w:sz w:val="22"/>
              </w:rPr>
              <w:t>che</w:t>
            </w:r>
            <w:r>
              <w:rPr>
                <w:color w:val="010202"/>
                <w:spacing w:val="30"/>
                <w:sz w:val="22"/>
              </w:rPr>
              <w:t> </w:t>
            </w:r>
            <w:r>
              <w:rPr>
                <w:color w:val="010202"/>
                <w:sz w:val="22"/>
              </w:rPr>
              <w:t>ledono</w:t>
            </w:r>
            <w:r>
              <w:rPr>
                <w:color w:val="010202"/>
                <w:spacing w:val="31"/>
                <w:sz w:val="22"/>
              </w:rPr>
              <w:t> </w:t>
            </w:r>
            <w:r>
              <w:rPr>
                <w:color w:val="010202"/>
                <w:sz w:val="22"/>
              </w:rPr>
              <w:t>gli</w:t>
            </w:r>
            <w:r>
              <w:rPr>
                <w:color w:val="010202"/>
                <w:spacing w:val="30"/>
                <w:sz w:val="22"/>
              </w:rPr>
              <w:t> </w:t>
            </w:r>
            <w:r>
              <w:rPr>
                <w:color w:val="010202"/>
                <w:sz w:val="22"/>
              </w:rPr>
              <w:t>interessi</w:t>
            </w:r>
            <w:r>
              <w:rPr>
                <w:color w:val="010202"/>
                <w:spacing w:val="30"/>
                <w:sz w:val="22"/>
              </w:rPr>
              <w:t> </w:t>
            </w:r>
            <w:r>
              <w:rPr>
                <w:color w:val="010202"/>
                <w:sz w:val="22"/>
              </w:rPr>
              <w:t>finanziari</w:t>
            </w:r>
            <w:r>
              <w:rPr>
                <w:color w:val="010202"/>
                <w:spacing w:val="31"/>
                <w:sz w:val="22"/>
              </w:rPr>
              <w:t> </w:t>
            </w:r>
            <w:r>
              <w:rPr>
                <w:color w:val="010202"/>
                <w:sz w:val="22"/>
              </w:rPr>
              <w:t>dell’Unione</w:t>
            </w:r>
            <w:r>
              <w:rPr>
                <w:color w:val="010202"/>
                <w:spacing w:val="31"/>
                <w:sz w:val="22"/>
              </w:rPr>
              <w:t> </w:t>
            </w:r>
            <w:r>
              <w:rPr>
                <w:color w:val="010202"/>
                <w:sz w:val="22"/>
              </w:rPr>
              <w:t>di</w:t>
            </w:r>
            <w:r>
              <w:rPr>
                <w:color w:val="010202"/>
                <w:spacing w:val="33"/>
                <w:sz w:val="22"/>
              </w:rPr>
              <w:t> </w:t>
            </w:r>
            <w:r>
              <w:rPr>
                <w:color w:val="010202"/>
                <w:spacing w:val="-5"/>
                <w:sz w:val="22"/>
              </w:rPr>
              <w:t>cui</w:t>
            </w:r>
          </w:p>
          <w:p>
            <w:pPr>
              <w:pStyle w:val="TableParagraph"/>
              <w:spacing w:line="252" w:lineRule="exact"/>
              <w:ind w:left="4" w:right="-15"/>
              <w:rPr>
                <w:sz w:val="22"/>
              </w:rPr>
            </w:pPr>
            <w:r>
              <w:rPr>
                <w:color w:val="010202"/>
                <w:sz w:val="22"/>
              </w:rPr>
              <w:t>all’art.</w:t>
            </w:r>
            <w:r>
              <w:rPr>
                <w:color w:val="010202"/>
                <w:spacing w:val="80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325</w:t>
            </w:r>
            <w:r>
              <w:rPr>
                <w:color w:val="010202"/>
                <w:spacing w:val="80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del</w:t>
            </w:r>
            <w:r>
              <w:rPr>
                <w:color w:val="010202"/>
                <w:spacing w:val="80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Trattato</w:t>
            </w:r>
            <w:r>
              <w:rPr>
                <w:color w:val="010202"/>
                <w:spacing w:val="80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sul</w:t>
            </w:r>
            <w:r>
              <w:rPr>
                <w:color w:val="010202"/>
                <w:spacing w:val="80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funzionamento</w:t>
            </w:r>
            <w:r>
              <w:rPr>
                <w:color w:val="010202"/>
                <w:spacing w:val="80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dell’Unione</w:t>
            </w:r>
            <w:r>
              <w:rPr>
                <w:color w:val="010202"/>
                <w:spacing w:val="80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europea specificati nel diritto derivato pertinente dell’Unione europea.</w:t>
            </w:r>
          </w:p>
        </w:tc>
      </w:tr>
      <w:tr>
        <w:trPr>
          <w:trHeight w:val="2022" w:hRule="atLeast"/>
        </w:trPr>
        <w:tc>
          <w:tcPr>
            <w:tcW w:w="42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3"/>
              <w:rPr>
                <w:sz w:val="22"/>
              </w:rPr>
            </w:pPr>
          </w:p>
          <w:p>
            <w:pPr>
              <w:pStyle w:val="TableParagraph"/>
              <w:ind w:right="37"/>
              <w:jc w:val="center"/>
              <w:rPr>
                <w:sz w:val="22"/>
              </w:rPr>
            </w:pPr>
            <w:r>
              <w:rPr>
                <w:color w:val="010202"/>
                <w:spacing w:val="-10"/>
                <w:w w:val="130"/>
                <w:sz w:val="22"/>
              </w:rPr>
              <w:t>□</w:t>
            </w:r>
          </w:p>
        </w:tc>
        <w:tc>
          <w:tcPr>
            <w:tcW w:w="3259" w:type="dxa"/>
            <w:shd w:val="clear" w:color="auto" w:fill="D7D7D7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49"/>
              <w:rPr>
                <w:sz w:val="22"/>
              </w:rPr>
            </w:pPr>
          </w:p>
          <w:p>
            <w:pPr>
              <w:pStyle w:val="TableParagraph"/>
              <w:spacing w:before="1"/>
              <w:ind w:right="122"/>
              <w:jc w:val="center"/>
              <w:rPr>
                <w:sz w:val="22"/>
              </w:rPr>
            </w:pPr>
            <w:r>
              <w:rPr>
                <w:color w:val="010202"/>
                <w:w w:val="105"/>
                <w:sz w:val="22"/>
              </w:rPr>
              <w:t>Art. 2,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comma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1,</w:t>
            </w:r>
            <w:r>
              <w:rPr>
                <w:color w:val="010202"/>
                <w:spacing w:val="-2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lett.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a),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punto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spacing w:val="-5"/>
                <w:w w:val="105"/>
                <w:sz w:val="22"/>
              </w:rPr>
              <w:t>5)</w:t>
            </w:r>
          </w:p>
        </w:tc>
        <w:tc>
          <w:tcPr>
            <w:tcW w:w="6521" w:type="dxa"/>
          </w:tcPr>
          <w:p>
            <w:pPr>
              <w:pStyle w:val="TableParagraph"/>
              <w:ind w:left="4" w:right="-15"/>
              <w:jc w:val="both"/>
              <w:rPr>
                <w:sz w:val="22"/>
              </w:rPr>
            </w:pPr>
            <w:r>
              <w:rPr>
                <w:color w:val="010202"/>
                <w:sz w:val="22"/>
              </w:rPr>
              <w:t>Atti od omissioni riguardanti il mercato interno, di cui all'articolo 26, paragrafo 2, del Trattato sul funzionamento dell'Unione europea, comprese le violazioni delle norme dell'Unione europea in materia di concorrenza</w:t>
            </w:r>
            <w:r>
              <w:rPr>
                <w:color w:val="010202"/>
                <w:spacing w:val="-2"/>
                <w:sz w:val="22"/>
              </w:rPr>
              <w:t> </w:t>
            </w:r>
            <w:r>
              <w:rPr>
                <w:color w:val="010202"/>
                <w:sz w:val="22"/>
              </w:rPr>
              <w:t>e</w:t>
            </w:r>
            <w:r>
              <w:rPr>
                <w:color w:val="010202"/>
                <w:spacing w:val="-2"/>
                <w:sz w:val="22"/>
              </w:rPr>
              <w:t> </w:t>
            </w:r>
            <w:r>
              <w:rPr>
                <w:color w:val="010202"/>
                <w:sz w:val="22"/>
              </w:rPr>
              <w:t>di aiuti di</w:t>
            </w:r>
            <w:r>
              <w:rPr>
                <w:color w:val="010202"/>
                <w:spacing w:val="-2"/>
                <w:sz w:val="22"/>
              </w:rPr>
              <w:t> </w:t>
            </w:r>
            <w:r>
              <w:rPr>
                <w:color w:val="010202"/>
                <w:sz w:val="22"/>
              </w:rPr>
              <w:t>Stato,</w:t>
            </w:r>
            <w:r>
              <w:rPr>
                <w:color w:val="010202"/>
                <w:spacing w:val="-2"/>
                <w:sz w:val="22"/>
              </w:rPr>
              <w:t> </w:t>
            </w:r>
            <w:r>
              <w:rPr>
                <w:color w:val="010202"/>
                <w:sz w:val="22"/>
              </w:rPr>
              <w:t>nonché</w:t>
            </w:r>
            <w:r>
              <w:rPr>
                <w:color w:val="010202"/>
                <w:spacing w:val="-1"/>
                <w:sz w:val="22"/>
              </w:rPr>
              <w:t> </w:t>
            </w:r>
            <w:r>
              <w:rPr>
                <w:color w:val="010202"/>
                <w:sz w:val="22"/>
              </w:rPr>
              <w:t>le</w:t>
            </w:r>
            <w:r>
              <w:rPr>
                <w:color w:val="010202"/>
                <w:spacing w:val="-1"/>
                <w:sz w:val="22"/>
              </w:rPr>
              <w:t> </w:t>
            </w:r>
            <w:r>
              <w:rPr>
                <w:color w:val="010202"/>
                <w:sz w:val="22"/>
              </w:rPr>
              <w:t>violazioni</w:t>
            </w:r>
            <w:r>
              <w:rPr>
                <w:color w:val="010202"/>
                <w:spacing w:val="-3"/>
                <w:sz w:val="22"/>
              </w:rPr>
              <w:t> </w:t>
            </w:r>
            <w:r>
              <w:rPr>
                <w:color w:val="010202"/>
                <w:sz w:val="22"/>
              </w:rPr>
              <w:t>riguardanti</w:t>
            </w:r>
            <w:r>
              <w:rPr>
                <w:color w:val="010202"/>
                <w:spacing w:val="-2"/>
                <w:sz w:val="22"/>
              </w:rPr>
              <w:t> </w:t>
            </w:r>
            <w:r>
              <w:rPr>
                <w:color w:val="010202"/>
                <w:sz w:val="22"/>
              </w:rPr>
              <w:t>il mercato interno connesse ad atti che violano le norme in materia di imposta sulle società o i meccanismi il cui fine è ottenere un vantaggio fiscale che vanifica</w:t>
            </w:r>
            <w:r>
              <w:rPr>
                <w:color w:val="010202"/>
                <w:spacing w:val="23"/>
                <w:sz w:val="22"/>
              </w:rPr>
              <w:t> </w:t>
            </w:r>
            <w:r>
              <w:rPr>
                <w:color w:val="010202"/>
                <w:sz w:val="22"/>
              </w:rPr>
              <w:t>l’oggetto</w:t>
            </w:r>
            <w:r>
              <w:rPr>
                <w:color w:val="010202"/>
                <w:spacing w:val="26"/>
                <w:sz w:val="22"/>
              </w:rPr>
              <w:t> </w:t>
            </w:r>
            <w:r>
              <w:rPr>
                <w:color w:val="010202"/>
                <w:sz w:val="22"/>
              </w:rPr>
              <w:t>o</w:t>
            </w:r>
            <w:r>
              <w:rPr>
                <w:color w:val="010202"/>
                <w:spacing w:val="24"/>
                <w:sz w:val="22"/>
              </w:rPr>
              <w:t> </w:t>
            </w:r>
            <w:r>
              <w:rPr>
                <w:color w:val="010202"/>
                <w:sz w:val="22"/>
              </w:rPr>
              <w:t>la</w:t>
            </w:r>
            <w:r>
              <w:rPr>
                <w:color w:val="010202"/>
                <w:spacing w:val="23"/>
                <w:sz w:val="22"/>
              </w:rPr>
              <w:t> </w:t>
            </w:r>
            <w:r>
              <w:rPr>
                <w:color w:val="010202"/>
                <w:sz w:val="22"/>
              </w:rPr>
              <w:t>finalità</w:t>
            </w:r>
            <w:r>
              <w:rPr>
                <w:color w:val="010202"/>
                <w:spacing w:val="25"/>
                <w:sz w:val="22"/>
              </w:rPr>
              <w:t> </w:t>
            </w:r>
            <w:r>
              <w:rPr>
                <w:color w:val="010202"/>
                <w:sz w:val="22"/>
              </w:rPr>
              <w:t>della</w:t>
            </w:r>
            <w:r>
              <w:rPr>
                <w:color w:val="010202"/>
                <w:spacing w:val="26"/>
                <w:sz w:val="22"/>
              </w:rPr>
              <w:t> </w:t>
            </w:r>
            <w:r>
              <w:rPr>
                <w:color w:val="010202"/>
                <w:sz w:val="22"/>
              </w:rPr>
              <w:t>normativa</w:t>
            </w:r>
            <w:r>
              <w:rPr>
                <w:color w:val="010202"/>
                <w:spacing w:val="26"/>
                <w:sz w:val="22"/>
              </w:rPr>
              <w:t> </w:t>
            </w:r>
            <w:r>
              <w:rPr>
                <w:color w:val="010202"/>
                <w:sz w:val="22"/>
              </w:rPr>
              <w:t>applicabile</w:t>
            </w:r>
            <w:r>
              <w:rPr>
                <w:color w:val="010202"/>
                <w:spacing w:val="24"/>
                <w:sz w:val="22"/>
              </w:rPr>
              <w:t> </w:t>
            </w:r>
            <w:r>
              <w:rPr>
                <w:color w:val="010202"/>
                <w:sz w:val="22"/>
              </w:rPr>
              <w:t>in</w:t>
            </w:r>
            <w:r>
              <w:rPr>
                <w:color w:val="010202"/>
                <w:spacing w:val="31"/>
                <w:sz w:val="22"/>
              </w:rPr>
              <w:t> </w:t>
            </w:r>
            <w:r>
              <w:rPr>
                <w:color w:val="010202"/>
                <w:sz w:val="22"/>
              </w:rPr>
              <w:t>materia</w:t>
            </w:r>
            <w:r>
              <w:rPr>
                <w:color w:val="010202"/>
                <w:spacing w:val="28"/>
                <w:sz w:val="22"/>
              </w:rPr>
              <w:t> </w:t>
            </w:r>
            <w:r>
              <w:rPr>
                <w:color w:val="010202"/>
                <w:spacing w:val="-5"/>
                <w:sz w:val="22"/>
              </w:rPr>
              <w:t>di</w:t>
            </w:r>
          </w:p>
          <w:p>
            <w:pPr>
              <w:pStyle w:val="TableParagraph"/>
              <w:spacing w:line="238" w:lineRule="exact"/>
              <w:ind w:left="4"/>
              <w:jc w:val="both"/>
              <w:rPr>
                <w:sz w:val="22"/>
              </w:rPr>
            </w:pPr>
            <w:r>
              <w:rPr>
                <w:color w:val="010202"/>
                <w:sz w:val="22"/>
              </w:rPr>
              <w:t>imposta</w:t>
            </w:r>
            <w:r>
              <w:rPr>
                <w:color w:val="010202"/>
                <w:spacing w:val="-3"/>
                <w:sz w:val="22"/>
              </w:rPr>
              <w:t> </w:t>
            </w:r>
            <w:r>
              <w:rPr>
                <w:color w:val="010202"/>
                <w:sz w:val="22"/>
              </w:rPr>
              <w:t>sulle</w:t>
            </w:r>
            <w:r>
              <w:rPr>
                <w:color w:val="010202"/>
                <w:spacing w:val="-2"/>
                <w:sz w:val="22"/>
              </w:rPr>
              <w:t> società.</w:t>
            </w:r>
          </w:p>
        </w:tc>
      </w:tr>
      <w:tr>
        <w:trPr>
          <w:trHeight w:val="760" w:hRule="atLeast"/>
        </w:trPr>
        <w:tc>
          <w:tcPr>
            <w:tcW w:w="427" w:type="dxa"/>
          </w:tcPr>
          <w:p>
            <w:pPr>
              <w:pStyle w:val="TableParagraph"/>
              <w:spacing w:before="14"/>
              <w:rPr>
                <w:sz w:val="22"/>
              </w:rPr>
            </w:pPr>
          </w:p>
          <w:p>
            <w:pPr>
              <w:pStyle w:val="TableParagraph"/>
              <w:ind w:right="37"/>
              <w:jc w:val="center"/>
              <w:rPr>
                <w:sz w:val="22"/>
              </w:rPr>
            </w:pPr>
            <w:r>
              <w:rPr>
                <w:color w:val="010202"/>
                <w:spacing w:val="-10"/>
                <w:w w:val="130"/>
                <w:sz w:val="22"/>
              </w:rPr>
              <w:t>□</w:t>
            </w:r>
          </w:p>
        </w:tc>
        <w:tc>
          <w:tcPr>
            <w:tcW w:w="3259" w:type="dxa"/>
            <w:shd w:val="clear" w:color="auto" w:fill="D7D7D7"/>
          </w:tcPr>
          <w:p>
            <w:pPr>
              <w:pStyle w:val="TableParagraph"/>
              <w:spacing w:before="253"/>
              <w:ind w:right="122"/>
              <w:jc w:val="center"/>
              <w:rPr>
                <w:sz w:val="22"/>
              </w:rPr>
            </w:pPr>
            <w:r>
              <w:rPr>
                <w:color w:val="010202"/>
                <w:w w:val="105"/>
                <w:sz w:val="22"/>
              </w:rPr>
              <w:t>Art. 2,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comma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1,</w:t>
            </w:r>
            <w:r>
              <w:rPr>
                <w:color w:val="010202"/>
                <w:spacing w:val="-2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lett.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a),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w w:val="105"/>
                <w:sz w:val="22"/>
              </w:rPr>
              <w:t>punto</w:t>
            </w:r>
            <w:r>
              <w:rPr>
                <w:color w:val="010202"/>
                <w:spacing w:val="1"/>
                <w:w w:val="105"/>
                <w:sz w:val="22"/>
              </w:rPr>
              <w:t> </w:t>
            </w:r>
            <w:r>
              <w:rPr>
                <w:color w:val="010202"/>
                <w:spacing w:val="-5"/>
                <w:w w:val="105"/>
                <w:sz w:val="22"/>
              </w:rPr>
              <w:t>6)</w:t>
            </w:r>
          </w:p>
        </w:tc>
        <w:tc>
          <w:tcPr>
            <w:tcW w:w="6521" w:type="dxa"/>
          </w:tcPr>
          <w:p>
            <w:pPr>
              <w:pStyle w:val="TableParagraph"/>
              <w:spacing w:line="247" w:lineRule="exact"/>
              <w:ind w:left="4" w:right="-15"/>
              <w:rPr>
                <w:sz w:val="22"/>
              </w:rPr>
            </w:pPr>
            <w:r>
              <w:rPr>
                <w:color w:val="010202"/>
                <w:sz w:val="22"/>
              </w:rPr>
              <w:t>Atti</w:t>
            </w:r>
            <w:r>
              <w:rPr>
                <w:color w:val="010202"/>
                <w:spacing w:val="74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o</w:t>
            </w:r>
            <w:r>
              <w:rPr>
                <w:color w:val="010202"/>
                <w:spacing w:val="70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comportamenti</w:t>
            </w:r>
            <w:r>
              <w:rPr>
                <w:color w:val="010202"/>
                <w:spacing w:val="72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che</w:t>
            </w:r>
            <w:r>
              <w:rPr>
                <w:color w:val="010202"/>
                <w:spacing w:val="70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vanificano</w:t>
            </w:r>
            <w:r>
              <w:rPr>
                <w:color w:val="010202"/>
                <w:spacing w:val="70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l'oggetto</w:t>
            </w:r>
            <w:r>
              <w:rPr>
                <w:color w:val="010202"/>
                <w:spacing w:val="72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o</w:t>
            </w:r>
            <w:r>
              <w:rPr>
                <w:color w:val="010202"/>
                <w:spacing w:val="72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la</w:t>
            </w:r>
            <w:r>
              <w:rPr>
                <w:color w:val="010202"/>
                <w:spacing w:val="72"/>
                <w:w w:val="150"/>
                <w:sz w:val="22"/>
              </w:rPr>
              <w:t> </w:t>
            </w:r>
            <w:r>
              <w:rPr>
                <w:color w:val="010202"/>
                <w:sz w:val="22"/>
              </w:rPr>
              <w:t>finalità</w:t>
            </w:r>
            <w:r>
              <w:rPr>
                <w:color w:val="010202"/>
                <w:spacing w:val="71"/>
                <w:w w:val="150"/>
                <w:sz w:val="22"/>
              </w:rPr>
              <w:t> </w:t>
            </w:r>
            <w:r>
              <w:rPr>
                <w:color w:val="010202"/>
                <w:spacing w:val="-2"/>
                <w:sz w:val="22"/>
              </w:rPr>
              <w:t>delle</w:t>
            </w:r>
          </w:p>
          <w:p>
            <w:pPr>
              <w:pStyle w:val="TableParagraph"/>
              <w:spacing w:line="252" w:lineRule="exact"/>
              <w:ind w:left="4" w:right="-15"/>
              <w:rPr>
                <w:sz w:val="22"/>
              </w:rPr>
            </w:pPr>
            <w:r>
              <w:rPr>
                <w:color w:val="010202"/>
                <w:sz w:val="22"/>
              </w:rPr>
              <w:t>disposizioni</w:t>
            </w:r>
            <w:r>
              <w:rPr>
                <w:color w:val="010202"/>
                <w:spacing w:val="40"/>
                <w:sz w:val="22"/>
              </w:rPr>
              <w:t> </w:t>
            </w:r>
            <w:r>
              <w:rPr>
                <w:color w:val="010202"/>
                <w:sz w:val="22"/>
              </w:rPr>
              <w:t>di</w:t>
            </w:r>
            <w:r>
              <w:rPr>
                <w:color w:val="010202"/>
                <w:spacing w:val="40"/>
                <w:sz w:val="22"/>
              </w:rPr>
              <w:t> </w:t>
            </w:r>
            <w:r>
              <w:rPr>
                <w:color w:val="010202"/>
                <w:sz w:val="22"/>
              </w:rPr>
              <w:t>cui</w:t>
            </w:r>
            <w:r>
              <w:rPr>
                <w:color w:val="010202"/>
                <w:spacing w:val="40"/>
                <w:sz w:val="22"/>
              </w:rPr>
              <w:t> </w:t>
            </w:r>
            <w:r>
              <w:rPr>
                <w:color w:val="010202"/>
                <w:sz w:val="22"/>
              </w:rPr>
              <w:t>agli</w:t>
            </w:r>
            <w:r>
              <w:rPr>
                <w:color w:val="010202"/>
                <w:spacing w:val="40"/>
                <w:sz w:val="22"/>
              </w:rPr>
              <w:t> </w:t>
            </w:r>
            <w:r>
              <w:rPr>
                <w:color w:val="010202"/>
                <w:sz w:val="22"/>
              </w:rPr>
              <w:t>atti</w:t>
            </w:r>
            <w:r>
              <w:rPr>
                <w:color w:val="010202"/>
                <w:spacing w:val="40"/>
                <w:sz w:val="22"/>
              </w:rPr>
              <w:t> </w:t>
            </w:r>
            <w:r>
              <w:rPr>
                <w:color w:val="010202"/>
                <w:sz w:val="22"/>
              </w:rPr>
              <w:t>dell'Unione</w:t>
            </w:r>
            <w:r>
              <w:rPr>
                <w:color w:val="010202"/>
                <w:spacing w:val="40"/>
                <w:sz w:val="22"/>
              </w:rPr>
              <w:t> </w:t>
            </w:r>
            <w:r>
              <w:rPr>
                <w:color w:val="010202"/>
                <w:sz w:val="22"/>
              </w:rPr>
              <w:t>nei</w:t>
            </w:r>
            <w:r>
              <w:rPr>
                <w:color w:val="010202"/>
                <w:spacing w:val="40"/>
                <w:sz w:val="22"/>
              </w:rPr>
              <w:t> </w:t>
            </w:r>
            <w:r>
              <w:rPr>
                <w:color w:val="010202"/>
                <w:sz w:val="22"/>
              </w:rPr>
              <w:t>settori</w:t>
            </w:r>
            <w:r>
              <w:rPr>
                <w:color w:val="010202"/>
                <w:spacing w:val="40"/>
                <w:sz w:val="22"/>
              </w:rPr>
              <w:t> </w:t>
            </w:r>
            <w:r>
              <w:rPr>
                <w:color w:val="010202"/>
                <w:sz w:val="22"/>
              </w:rPr>
              <w:t>indicati</w:t>
            </w:r>
            <w:r>
              <w:rPr>
                <w:color w:val="010202"/>
                <w:spacing w:val="40"/>
                <w:sz w:val="22"/>
              </w:rPr>
              <w:t> </w:t>
            </w:r>
            <w:r>
              <w:rPr>
                <w:color w:val="010202"/>
                <w:sz w:val="22"/>
              </w:rPr>
              <w:t>nei</w:t>
            </w:r>
            <w:r>
              <w:rPr>
                <w:color w:val="010202"/>
                <w:spacing w:val="40"/>
                <w:sz w:val="22"/>
              </w:rPr>
              <w:t> </w:t>
            </w:r>
            <w:r>
              <w:rPr>
                <w:color w:val="010202"/>
                <w:sz w:val="22"/>
              </w:rPr>
              <w:t>punti numeri 3), 4) e 5).</w:t>
            </w:r>
          </w:p>
        </w:tc>
      </w:tr>
    </w:tbl>
    <w:p>
      <w:pPr>
        <w:spacing w:line="240" w:lineRule="auto" w:before="134"/>
        <w:rPr>
          <w:sz w:val="22"/>
        </w:rPr>
      </w:pPr>
    </w:p>
    <w:p>
      <w:pPr>
        <w:tabs>
          <w:tab w:pos="3156" w:val="left" w:leader="none"/>
        </w:tabs>
        <w:spacing w:before="0"/>
        <w:ind w:left="52" w:right="0" w:firstLine="0"/>
        <w:jc w:val="left"/>
        <w:rPr>
          <w:sz w:val="22"/>
        </w:rPr>
      </w:pPr>
      <w:r>
        <w:rPr>
          <w:color w:val="010202"/>
          <w:spacing w:val="-4"/>
          <w:sz w:val="22"/>
        </w:rPr>
        <w:t>Data</w:t>
      </w:r>
      <w:r>
        <w:rPr>
          <w:color w:val="010202"/>
          <w:sz w:val="22"/>
          <w:u w:val="single" w:color="000101"/>
        </w:rPr>
        <w:tab/>
      </w:r>
    </w:p>
    <w:p>
      <w:pPr>
        <w:spacing w:line="240" w:lineRule="auto" w:before="159"/>
        <w:rPr>
          <w:sz w:val="20"/>
        </w:rPr>
      </w:pPr>
    </w:p>
    <w:p>
      <w:pPr>
        <w:pStyle w:val="Heading1"/>
        <w:rPr>
          <w:u w:val="none"/>
        </w:rPr>
      </w:pPr>
      <w:r>
        <w:rPr>
          <w:color w:val="010202"/>
          <w:w w:val="105"/>
          <w:u w:val="single" w:color="010202"/>
        </w:rPr>
        <w:t>Nota</w:t>
      </w:r>
      <w:r>
        <w:rPr>
          <w:color w:val="010202"/>
          <w:spacing w:val="-2"/>
          <w:w w:val="105"/>
          <w:u w:val="single" w:color="010202"/>
        </w:rPr>
        <w:t> bene</w:t>
      </w:r>
      <w:r>
        <w:rPr>
          <w:color w:val="010202"/>
          <w:spacing w:val="-2"/>
          <w:w w:val="105"/>
          <w:u w:val="none"/>
        </w:rPr>
        <w:t>:</w:t>
      </w:r>
    </w:p>
    <w:p>
      <w:pPr>
        <w:pStyle w:val="BodyText"/>
        <w:spacing w:line="207" w:lineRule="exact" w:before="2"/>
        <w:ind w:left="52"/>
        <w:jc w:val="both"/>
        <w:rPr>
          <w:i/>
        </w:rPr>
      </w:pPr>
      <w:r>
        <w:rPr>
          <w:i/>
          <w:color w:val="010202"/>
        </w:rPr>
        <w:t>Non</w:t>
      </w:r>
      <w:r>
        <w:rPr>
          <w:i w:val="0"/>
          <w:color w:val="010202"/>
          <w:spacing w:val="-7"/>
        </w:rPr>
        <w:t> </w:t>
      </w:r>
      <w:r>
        <w:rPr>
          <w:i/>
          <w:color w:val="010202"/>
        </w:rPr>
        <w:t>possono</w:t>
      </w:r>
      <w:r>
        <w:rPr>
          <w:i w:val="0"/>
          <w:color w:val="010202"/>
          <w:spacing w:val="-7"/>
        </w:rPr>
        <w:t> </w:t>
      </w:r>
      <w:r>
        <w:rPr>
          <w:i/>
          <w:color w:val="010202"/>
        </w:rPr>
        <w:t>essere</w:t>
      </w:r>
      <w:r>
        <w:rPr>
          <w:i w:val="0"/>
          <w:color w:val="010202"/>
          <w:spacing w:val="-6"/>
        </w:rPr>
        <w:t> </w:t>
      </w:r>
      <w:r>
        <w:rPr>
          <w:i/>
          <w:color w:val="010202"/>
        </w:rPr>
        <w:t>oggetto</w:t>
      </w:r>
      <w:r>
        <w:rPr>
          <w:i w:val="0"/>
          <w:color w:val="010202"/>
          <w:spacing w:val="-6"/>
        </w:rPr>
        <w:t> </w:t>
      </w:r>
      <w:r>
        <w:rPr>
          <w:i/>
          <w:color w:val="010202"/>
        </w:rPr>
        <w:t>di</w:t>
      </w:r>
      <w:r>
        <w:rPr>
          <w:i w:val="0"/>
          <w:color w:val="010202"/>
          <w:spacing w:val="-7"/>
        </w:rPr>
        <w:t> </w:t>
      </w:r>
      <w:r>
        <w:rPr>
          <w:i/>
          <w:color w:val="010202"/>
        </w:rPr>
        <w:t>segnalazione</w:t>
      </w:r>
      <w:r>
        <w:rPr>
          <w:i w:val="0"/>
          <w:color w:val="010202"/>
          <w:spacing w:val="-6"/>
        </w:rPr>
        <w:t> </w:t>
      </w:r>
      <w:r>
        <w:rPr>
          <w:i/>
          <w:color w:val="010202"/>
        </w:rPr>
        <w:t>e,</w:t>
      </w:r>
      <w:r>
        <w:rPr>
          <w:i w:val="0"/>
          <w:color w:val="010202"/>
          <w:spacing w:val="-7"/>
        </w:rPr>
        <w:t> </w:t>
      </w:r>
      <w:r>
        <w:rPr>
          <w:i/>
          <w:color w:val="010202"/>
        </w:rPr>
        <w:t>dunque,</w:t>
      </w:r>
      <w:r>
        <w:rPr>
          <w:i w:val="0"/>
          <w:color w:val="010202"/>
          <w:spacing w:val="-5"/>
        </w:rPr>
        <w:t> </w:t>
      </w:r>
      <w:r>
        <w:rPr>
          <w:i/>
          <w:color w:val="010202"/>
        </w:rPr>
        <w:t>non</w:t>
      </w:r>
      <w:r>
        <w:rPr>
          <w:i w:val="0"/>
          <w:color w:val="010202"/>
          <w:spacing w:val="-6"/>
        </w:rPr>
        <w:t> </w:t>
      </w:r>
      <w:r>
        <w:rPr>
          <w:i/>
          <w:color w:val="010202"/>
        </w:rPr>
        <w:t>verranno</w:t>
      </w:r>
      <w:r>
        <w:rPr>
          <w:i w:val="0"/>
          <w:color w:val="010202"/>
          <w:spacing w:val="-6"/>
        </w:rPr>
        <w:t> </w:t>
      </w:r>
      <w:r>
        <w:rPr>
          <w:i/>
          <w:color w:val="010202"/>
        </w:rPr>
        <w:t>prese</w:t>
      </w:r>
      <w:r>
        <w:rPr>
          <w:i w:val="0"/>
          <w:color w:val="010202"/>
          <w:spacing w:val="-6"/>
        </w:rPr>
        <w:t> </w:t>
      </w:r>
      <w:r>
        <w:rPr>
          <w:i/>
          <w:color w:val="010202"/>
        </w:rPr>
        <w:t>in</w:t>
      </w:r>
      <w:r>
        <w:rPr>
          <w:i w:val="0"/>
          <w:color w:val="010202"/>
          <w:spacing w:val="-3"/>
        </w:rPr>
        <w:t> </w:t>
      </w:r>
      <w:r>
        <w:rPr>
          <w:i/>
          <w:color w:val="010202"/>
          <w:spacing w:val="-2"/>
        </w:rPr>
        <w:t>considerazione:</w:t>
      </w:r>
    </w:p>
    <w:p>
      <w:pPr>
        <w:pStyle w:val="ListParagraph"/>
        <w:numPr>
          <w:ilvl w:val="0"/>
          <w:numId w:val="1"/>
        </w:numPr>
        <w:tabs>
          <w:tab w:pos="759" w:val="left" w:leader="none"/>
          <w:tab w:pos="772" w:val="left" w:leader="none"/>
        </w:tabs>
        <w:spacing w:line="240" w:lineRule="auto" w:before="0" w:after="0"/>
        <w:ind w:left="772" w:right="421" w:hanging="360"/>
        <w:jc w:val="both"/>
        <w:rPr>
          <w:i/>
          <w:sz w:val="18"/>
        </w:rPr>
      </w:pPr>
      <w:r>
        <w:rPr>
          <w:i/>
          <w:color w:val="010202"/>
          <w:sz w:val="18"/>
        </w:rPr>
        <w:t>le</w:t>
      </w:r>
      <w:r>
        <w:rPr>
          <w:color w:val="010202"/>
          <w:spacing w:val="-3"/>
          <w:sz w:val="18"/>
        </w:rPr>
        <w:t> </w:t>
      </w:r>
      <w:r>
        <w:rPr>
          <w:i/>
          <w:color w:val="010202"/>
          <w:sz w:val="18"/>
        </w:rPr>
        <w:t>notizie</w:t>
      </w:r>
      <w:r>
        <w:rPr>
          <w:color w:val="010202"/>
          <w:spacing w:val="-3"/>
          <w:sz w:val="18"/>
        </w:rPr>
        <w:t> </w:t>
      </w:r>
      <w:r>
        <w:rPr>
          <w:i/>
          <w:color w:val="010202"/>
          <w:sz w:val="18"/>
        </w:rPr>
        <w:t>palesemente</w:t>
      </w:r>
      <w:r>
        <w:rPr>
          <w:color w:val="010202"/>
          <w:spacing w:val="-3"/>
          <w:sz w:val="18"/>
        </w:rPr>
        <w:t> </w:t>
      </w:r>
      <w:r>
        <w:rPr>
          <w:i/>
          <w:color w:val="010202"/>
          <w:sz w:val="18"/>
        </w:rPr>
        <w:t>prive</w:t>
      </w:r>
      <w:r>
        <w:rPr>
          <w:color w:val="010202"/>
          <w:spacing w:val="-4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pacing w:val="-1"/>
          <w:sz w:val="18"/>
        </w:rPr>
        <w:t> </w:t>
      </w:r>
      <w:r>
        <w:rPr>
          <w:i/>
          <w:color w:val="010202"/>
          <w:sz w:val="18"/>
        </w:rPr>
        <w:t>fondamento,</w:t>
      </w:r>
      <w:r>
        <w:rPr>
          <w:color w:val="010202"/>
          <w:spacing w:val="-4"/>
          <w:sz w:val="18"/>
        </w:rPr>
        <w:t> </w:t>
      </w:r>
      <w:r>
        <w:rPr>
          <w:i/>
          <w:color w:val="010202"/>
          <w:sz w:val="18"/>
        </w:rPr>
        <w:t>quelle</w:t>
      </w:r>
      <w:r>
        <w:rPr>
          <w:color w:val="010202"/>
          <w:spacing w:val="-3"/>
          <w:sz w:val="18"/>
        </w:rPr>
        <w:t> </w:t>
      </w:r>
      <w:r>
        <w:rPr>
          <w:i/>
          <w:color w:val="010202"/>
          <w:sz w:val="18"/>
        </w:rPr>
        <w:t>che</w:t>
      </w:r>
      <w:r>
        <w:rPr>
          <w:color w:val="010202"/>
          <w:spacing w:val="-3"/>
          <w:sz w:val="18"/>
        </w:rPr>
        <w:t> </w:t>
      </w:r>
      <w:r>
        <w:rPr>
          <w:i/>
          <w:color w:val="010202"/>
          <w:sz w:val="18"/>
        </w:rPr>
        <w:t>sono</w:t>
      </w:r>
      <w:r>
        <w:rPr>
          <w:color w:val="010202"/>
          <w:spacing w:val="-3"/>
          <w:sz w:val="18"/>
        </w:rPr>
        <w:t> </w:t>
      </w:r>
      <w:r>
        <w:rPr>
          <w:i/>
          <w:color w:val="010202"/>
          <w:sz w:val="18"/>
        </w:rPr>
        <w:t>già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totalmente</w:t>
      </w:r>
      <w:r>
        <w:rPr>
          <w:color w:val="010202"/>
          <w:spacing w:val="-1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pacing w:val="-4"/>
          <w:sz w:val="18"/>
        </w:rPr>
        <w:t> </w:t>
      </w:r>
      <w:r>
        <w:rPr>
          <w:i/>
          <w:color w:val="010202"/>
          <w:sz w:val="18"/>
        </w:rPr>
        <w:t>dominio</w:t>
      </w:r>
      <w:r>
        <w:rPr>
          <w:color w:val="010202"/>
          <w:spacing w:val="-3"/>
          <w:sz w:val="18"/>
        </w:rPr>
        <w:t> </w:t>
      </w:r>
      <w:r>
        <w:rPr>
          <w:i/>
          <w:color w:val="010202"/>
          <w:sz w:val="18"/>
        </w:rPr>
        <w:t>pubblico,</w:t>
      </w:r>
      <w:r>
        <w:rPr>
          <w:color w:val="010202"/>
          <w:spacing w:val="-4"/>
          <w:sz w:val="18"/>
        </w:rPr>
        <w:t> </w:t>
      </w:r>
      <w:r>
        <w:rPr>
          <w:i/>
          <w:color w:val="010202"/>
          <w:sz w:val="18"/>
        </w:rPr>
        <w:t>nonché</w:t>
      </w:r>
      <w:r>
        <w:rPr>
          <w:color w:val="010202"/>
          <w:spacing w:val="-3"/>
          <w:sz w:val="18"/>
        </w:rPr>
        <w:t> </w:t>
      </w:r>
      <w:r>
        <w:rPr>
          <w:i/>
          <w:color w:val="010202"/>
          <w:sz w:val="18"/>
        </w:rPr>
        <w:t>i</w:t>
      </w:r>
      <w:r>
        <w:rPr>
          <w:color w:val="010202"/>
          <w:spacing w:val="-1"/>
          <w:sz w:val="18"/>
        </w:rPr>
        <w:t> </w:t>
      </w:r>
      <w:r>
        <w:rPr>
          <w:i/>
          <w:color w:val="010202"/>
          <w:sz w:val="18"/>
        </w:rPr>
        <w:t>dati</w:t>
      </w:r>
      <w:r>
        <w:rPr>
          <w:color w:val="010202"/>
          <w:spacing w:val="-3"/>
          <w:sz w:val="18"/>
        </w:rPr>
        <w:t> </w:t>
      </w:r>
      <w:r>
        <w:rPr>
          <w:i/>
          <w:color w:val="010202"/>
          <w:sz w:val="18"/>
        </w:rPr>
        <w:t>acquisiti</w:t>
      </w:r>
      <w:r>
        <w:rPr>
          <w:color w:val="010202"/>
          <w:spacing w:val="-1"/>
          <w:sz w:val="18"/>
        </w:rPr>
        <w:t> </w:t>
      </w:r>
      <w:r>
        <w:rPr>
          <w:i/>
          <w:color w:val="010202"/>
          <w:sz w:val="18"/>
        </w:rPr>
        <w:t>solo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sola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base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indiscrezioni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vociferazioni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scarsamente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attendibili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(cosiddette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voci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corridoio);</w:t>
      </w:r>
    </w:p>
    <w:p>
      <w:pPr>
        <w:pStyle w:val="ListParagraph"/>
        <w:numPr>
          <w:ilvl w:val="0"/>
          <w:numId w:val="1"/>
        </w:numPr>
        <w:tabs>
          <w:tab w:pos="759" w:val="left" w:leader="none"/>
          <w:tab w:pos="772" w:val="left" w:leader="none"/>
        </w:tabs>
        <w:spacing w:line="240" w:lineRule="auto" w:before="1" w:after="0"/>
        <w:ind w:left="772" w:right="419" w:hanging="360"/>
        <w:jc w:val="both"/>
        <w:rPr>
          <w:i/>
          <w:sz w:val="18"/>
        </w:rPr>
      </w:pPr>
      <w:r>
        <w:rPr>
          <w:i/>
          <w:color w:val="010202"/>
          <w:sz w:val="18"/>
        </w:rPr>
        <w:t>le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contestazioni,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rivendicazioni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richieste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legate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ad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un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interesse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carattere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personale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della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persona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segnalante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della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persona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che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ha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sporto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una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denuncia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all'Autorità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giudiziaria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che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attengono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esclusivamente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ai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propri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rapporti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individuali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lavoro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impiego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pubblico,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ovvero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inerenti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ai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propri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rapporti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lavoro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pacing w:val="-1"/>
          <w:sz w:val="18"/>
        </w:rPr>
        <w:t> </w:t>
      </w:r>
      <w:r>
        <w:rPr>
          <w:i/>
          <w:color w:val="010202"/>
          <w:sz w:val="18"/>
        </w:rPr>
        <w:t>impiego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pubblico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con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le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figure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gerarchicamente</w:t>
      </w:r>
      <w:r>
        <w:rPr>
          <w:color w:val="010202"/>
          <w:sz w:val="18"/>
        </w:rPr>
        <w:t> </w:t>
      </w:r>
      <w:r>
        <w:rPr>
          <w:i/>
          <w:color w:val="010202"/>
          <w:spacing w:val="-2"/>
          <w:sz w:val="18"/>
        </w:rPr>
        <w:t>sovraordinate;</w:t>
      </w:r>
    </w:p>
    <w:p>
      <w:pPr>
        <w:pStyle w:val="ListParagraph"/>
        <w:numPr>
          <w:ilvl w:val="0"/>
          <w:numId w:val="1"/>
        </w:numPr>
        <w:tabs>
          <w:tab w:pos="759" w:val="left" w:leader="none"/>
          <w:tab w:pos="772" w:val="left" w:leader="none"/>
        </w:tabs>
        <w:spacing w:line="240" w:lineRule="auto" w:before="0" w:after="0"/>
        <w:ind w:left="772" w:right="419" w:hanging="360"/>
        <w:jc w:val="both"/>
        <w:rPr>
          <w:i/>
          <w:sz w:val="18"/>
        </w:rPr>
      </w:pPr>
      <w:r>
        <w:rPr>
          <w:i/>
          <w:color w:val="010202"/>
          <w:sz w:val="18"/>
        </w:rPr>
        <w:t>le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segnalazioni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violazioni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laddove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già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disciplinate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in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via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obbligatoria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dagli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atti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dell'Unione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europea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nazionali,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previsti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dalla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direttiva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(UE)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2019/1937;</w:t>
      </w:r>
    </w:p>
    <w:p>
      <w:pPr>
        <w:pStyle w:val="ListParagraph"/>
        <w:numPr>
          <w:ilvl w:val="0"/>
          <w:numId w:val="1"/>
        </w:numPr>
        <w:tabs>
          <w:tab w:pos="759" w:val="left" w:leader="none"/>
          <w:tab w:pos="772" w:val="left" w:leader="none"/>
        </w:tabs>
        <w:spacing w:line="240" w:lineRule="auto" w:before="0" w:after="0"/>
        <w:ind w:left="772" w:right="423" w:hanging="360"/>
        <w:jc w:val="both"/>
        <w:rPr>
          <w:i/>
          <w:sz w:val="18"/>
        </w:rPr>
      </w:pPr>
      <w:r>
        <w:rPr>
          <w:i/>
          <w:color w:val="010202"/>
          <w:sz w:val="18"/>
        </w:rPr>
        <w:t>le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segnalazioni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violazioni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in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materia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sicurezza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nazionale,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nonché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appalti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relativi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ad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aspetti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difesa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sicurezza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nazionale,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a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meno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che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tali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aspetti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rientrino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nel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diritto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derivato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pertinente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dell'Unione</w:t>
      </w:r>
      <w:r>
        <w:rPr>
          <w:color w:val="010202"/>
          <w:sz w:val="18"/>
        </w:rPr>
        <w:t> </w:t>
      </w:r>
      <w:r>
        <w:rPr>
          <w:i/>
          <w:color w:val="010202"/>
          <w:sz w:val="18"/>
        </w:rPr>
        <w:t>europea.</w:t>
      </w:r>
    </w:p>
    <w:p>
      <w:pPr>
        <w:pStyle w:val="BodyText"/>
        <w:ind w:left="52" w:right="419" w:hanging="1"/>
        <w:jc w:val="both"/>
        <w:rPr>
          <w:i/>
        </w:rPr>
      </w:pPr>
      <w:r>
        <w:rPr>
          <w:i/>
          <w:color w:val="010202"/>
        </w:rPr>
        <w:t>I</w:t>
      </w:r>
      <w:r>
        <w:rPr>
          <w:i w:val="0"/>
          <w:color w:val="010202"/>
        </w:rPr>
        <w:t> </w:t>
      </w:r>
      <w:r>
        <w:rPr>
          <w:i/>
          <w:color w:val="010202"/>
        </w:rPr>
        <w:t>dati</w:t>
      </w:r>
      <w:r>
        <w:rPr>
          <w:i w:val="0"/>
          <w:color w:val="010202"/>
        </w:rPr>
        <w:t> </w:t>
      </w:r>
      <w:r>
        <w:rPr>
          <w:i/>
          <w:color w:val="010202"/>
        </w:rPr>
        <w:t>personali</w:t>
      </w:r>
      <w:r>
        <w:rPr>
          <w:i w:val="0"/>
          <w:color w:val="010202"/>
        </w:rPr>
        <w:t> </w:t>
      </w:r>
      <w:r>
        <w:rPr>
          <w:i/>
          <w:color w:val="010202"/>
        </w:rPr>
        <w:t>che</w:t>
      </w:r>
      <w:r>
        <w:rPr>
          <w:i w:val="0"/>
          <w:color w:val="010202"/>
        </w:rPr>
        <w:t> </w:t>
      </w:r>
      <w:r>
        <w:rPr>
          <w:i/>
          <w:color w:val="010202"/>
        </w:rPr>
        <w:t>manifestamente</w:t>
      </w:r>
      <w:r>
        <w:rPr>
          <w:i w:val="0"/>
          <w:color w:val="010202"/>
        </w:rPr>
        <w:t> </w:t>
      </w:r>
      <w:r>
        <w:rPr>
          <w:i/>
          <w:color w:val="010202"/>
        </w:rPr>
        <w:t>non</w:t>
      </w:r>
      <w:r>
        <w:rPr>
          <w:i w:val="0"/>
          <w:color w:val="010202"/>
        </w:rPr>
        <w:t> </w:t>
      </w:r>
      <w:r>
        <w:rPr>
          <w:i/>
          <w:color w:val="010202"/>
        </w:rPr>
        <w:t>risulteranno</w:t>
      </w:r>
      <w:r>
        <w:rPr>
          <w:i w:val="0"/>
          <w:color w:val="010202"/>
        </w:rPr>
        <w:t> </w:t>
      </w:r>
      <w:r>
        <w:rPr>
          <w:i/>
          <w:color w:val="010202"/>
        </w:rPr>
        <w:t>utili</w:t>
      </w:r>
      <w:r>
        <w:rPr>
          <w:i w:val="0"/>
          <w:color w:val="010202"/>
        </w:rPr>
        <w:t> </w:t>
      </w:r>
      <w:r>
        <w:rPr>
          <w:i/>
          <w:color w:val="010202"/>
        </w:rPr>
        <w:t>al</w:t>
      </w:r>
      <w:r>
        <w:rPr>
          <w:i w:val="0"/>
          <w:color w:val="010202"/>
        </w:rPr>
        <w:t> </w:t>
      </w:r>
      <w:r>
        <w:rPr>
          <w:i/>
          <w:color w:val="010202"/>
        </w:rPr>
        <w:t>trattamento</w:t>
      </w:r>
      <w:r>
        <w:rPr>
          <w:i w:val="0"/>
          <w:color w:val="010202"/>
        </w:rPr>
        <w:t> </w:t>
      </w:r>
      <w:r>
        <w:rPr>
          <w:i/>
          <w:color w:val="010202"/>
        </w:rPr>
        <w:t>di</w:t>
      </w:r>
      <w:r>
        <w:rPr>
          <w:i w:val="0"/>
          <w:color w:val="010202"/>
        </w:rPr>
        <w:t> </w:t>
      </w:r>
      <w:r>
        <w:rPr>
          <w:i/>
          <w:color w:val="010202"/>
        </w:rPr>
        <w:t>una</w:t>
      </w:r>
      <w:r>
        <w:rPr>
          <w:i w:val="0"/>
          <w:color w:val="010202"/>
        </w:rPr>
        <w:t> </w:t>
      </w:r>
      <w:r>
        <w:rPr>
          <w:i/>
          <w:color w:val="010202"/>
        </w:rPr>
        <w:t>specifica</w:t>
      </w:r>
      <w:r>
        <w:rPr>
          <w:i w:val="0"/>
          <w:color w:val="010202"/>
        </w:rPr>
        <w:t> </w:t>
      </w:r>
      <w:r>
        <w:rPr>
          <w:i/>
          <w:color w:val="010202"/>
        </w:rPr>
        <w:t>segnalazione</w:t>
      </w:r>
      <w:r>
        <w:rPr>
          <w:i w:val="0"/>
          <w:color w:val="010202"/>
        </w:rPr>
        <w:t> </w:t>
      </w:r>
      <w:r>
        <w:rPr>
          <w:i/>
          <w:color w:val="010202"/>
        </w:rPr>
        <w:t>non</w:t>
      </w:r>
      <w:r>
        <w:rPr>
          <w:i w:val="0"/>
          <w:color w:val="010202"/>
        </w:rPr>
        <w:t> </w:t>
      </w:r>
      <w:r>
        <w:rPr>
          <w:i/>
          <w:color w:val="010202"/>
        </w:rPr>
        <w:t>verranno</w:t>
      </w:r>
      <w:r>
        <w:rPr>
          <w:i w:val="0"/>
          <w:color w:val="010202"/>
        </w:rPr>
        <w:t> </w:t>
      </w:r>
      <w:r>
        <w:rPr>
          <w:i/>
          <w:color w:val="010202"/>
        </w:rPr>
        <w:t>raccolti</w:t>
      </w:r>
      <w:r>
        <w:rPr>
          <w:i w:val="0"/>
          <w:color w:val="010202"/>
        </w:rPr>
        <w:t> </w:t>
      </w:r>
      <w:r>
        <w:rPr>
          <w:i/>
          <w:color w:val="010202"/>
        </w:rPr>
        <w:t>o,</w:t>
      </w:r>
      <w:r>
        <w:rPr>
          <w:i w:val="0"/>
          <w:color w:val="010202"/>
        </w:rPr>
        <w:t> </w:t>
      </w:r>
      <w:r>
        <w:rPr>
          <w:i/>
          <w:color w:val="010202"/>
        </w:rPr>
        <w:t>se</w:t>
      </w:r>
      <w:r>
        <w:rPr>
          <w:i w:val="0"/>
          <w:color w:val="010202"/>
          <w:spacing w:val="40"/>
        </w:rPr>
        <w:t> </w:t>
      </w:r>
      <w:r>
        <w:rPr>
          <w:i/>
          <w:color w:val="010202"/>
        </w:rPr>
        <w:t>raccolti</w:t>
      </w:r>
      <w:r>
        <w:rPr>
          <w:i w:val="0"/>
          <w:color w:val="010202"/>
        </w:rPr>
        <w:t> </w:t>
      </w:r>
      <w:r>
        <w:rPr>
          <w:i/>
          <w:color w:val="010202"/>
        </w:rPr>
        <w:t>accidentalmente,</w:t>
      </w:r>
      <w:r>
        <w:rPr>
          <w:i w:val="0"/>
          <w:color w:val="010202"/>
        </w:rPr>
        <w:t> </w:t>
      </w:r>
      <w:r>
        <w:rPr>
          <w:i/>
          <w:color w:val="010202"/>
        </w:rPr>
        <w:t>saranno</w:t>
      </w:r>
      <w:r>
        <w:rPr>
          <w:i w:val="0"/>
          <w:color w:val="010202"/>
        </w:rPr>
        <w:t> </w:t>
      </w:r>
      <w:r>
        <w:rPr>
          <w:i/>
          <w:color w:val="010202"/>
        </w:rPr>
        <w:t>cancellati</w:t>
      </w:r>
      <w:r>
        <w:rPr>
          <w:i w:val="0"/>
          <w:color w:val="010202"/>
        </w:rPr>
        <w:t> </w:t>
      </w:r>
      <w:r>
        <w:rPr>
          <w:i/>
          <w:color w:val="010202"/>
        </w:rPr>
        <w:t>immediatamente.</w:t>
      </w:r>
    </w:p>
    <w:p>
      <w:pPr>
        <w:spacing w:line="240" w:lineRule="auto" w:before="0"/>
        <w:rPr>
          <w:i/>
          <w:sz w:val="18"/>
        </w:rPr>
      </w:pPr>
    </w:p>
    <w:p>
      <w:pPr>
        <w:spacing w:line="240" w:lineRule="auto" w:before="89"/>
        <w:rPr>
          <w:i/>
          <w:sz w:val="18"/>
        </w:rPr>
      </w:pPr>
    </w:p>
    <w:p>
      <w:pPr>
        <w:spacing w:before="0"/>
        <w:ind w:left="2" w:right="364" w:firstLine="0"/>
        <w:jc w:val="center"/>
        <w:rPr>
          <w:sz w:val="20"/>
        </w:rPr>
      </w:pPr>
      <w:r>
        <w:rPr>
          <w:color w:val="010202"/>
          <w:spacing w:val="-5"/>
          <w:sz w:val="20"/>
        </w:rPr>
        <w:t>***</w:t>
      </w:r>
    </w:p>
    <w:sectPr>
      <w:pgSz w:w="12240" w:h="15840"/>
      <w:pgMar w:top="1660" w:bottom="280" w:left="108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772" w:hanging="34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010202"/>
        <w:spacing w:val="0"/>
        <w:w w:val="99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746" w:hanging="34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712" w:hanging="34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678" w:hanging="34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644" w:hanging="34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610" w:hanging="34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576" w:hanging="34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542" w:hanging="34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508" w:hanging="348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i/>
      <w:iCs/>
      <w:sz w:val="18"/>
      <w:szCs w:val="18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52"/>
      <w:jc w:val="both"/>
      <w:outlineLvl w:val="1"/>
    </w:pPr>
    <w:rPr>
      <w:rFonts w:ascii="Times New Roman" w:hAnsi="Times New Roman" w:eastAsia="Times New Roman" w:cs="Times New Roman"/>
      <w:sz w:val="20"/>
      <w:szCs w:val="20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772" w:right="419" w:hanging="360"/>
      <w:jc w:val="both"/>
    </w:pPr>
    <w:rPr>
      <w:rFonts w:ascii="Times New Roman" w:hAnsi="Times New Roman" w:eastAsia="Times New Roman" w:cs="Times New Roman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2026-05-19T13:17:17Z</dcterms:created>
  <dcterms:modified xsi:type="dcterms:W3CDTF">2026-05-19T13:17:17Z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2026-05-19T00:00:00Z</vt:filetime>
  </property>
  <property fmtid="{D5CDD505-2E9C-101B-9397-08002B2CF9AE}" pid="3" name="LastSaved">
    <vt:filetime>2026-05-19T00:00:00Z</vt:filetime>
  </property>
  <property fmtid="{D5CDD505-2E9C-101B-9397-08002B2CF9AE}" pid="4" name="Producer">
    <vt:lpwstr>iLovePDF</vt:lpwstr>
  </property>
</Properties>
</file>